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B146" w14:textId="3E8E4206" w:rsidR="002C15DA" w:rsidRDefault="002C15DA" w:rsidP="002C15DA">
      <w:pPr>
        <w:spacing w:line="276" w:lineRule="auto"/>
        <w:jc w:val="center"/>
        <w:rPr>
          <w:rFonts w:ascii="Roboto" w:eastAsia="Times New Roman" w:hAnsi="Roboto" w:cs="Times New Roman"/>
          <w:noProof/>
          <w:sz w:val="24"/>
          <w:szCs w:val="24"/>
        </w:rPr>
      </w:pPr>
      <w:r w:rsidRPr="002C15DA">
        <w:rPr>
          <w:rFonts w:ascii="Lora" w:hAnsi="Lora"/>
          <w:noProof/>
          <w:color w:val="3F4A54"/>
          <w:sz w:val="21"/>
          <w:szCs w:val="21"/>
        </w:rPr>
        <w:pict w14:anchorId="383AB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Une image contenant texte&#10;&#10;Description générée automatiquement" style="width:262.75pt;height:54.25pt;visibility:visible;mso-wrap-style:square">
            <v:imagedata r:id="rId11" o:title="Une image contenant texte&#10;&#10;Description générée automatiquement"/>
          </v:shape>
        </w:pict>
      </w:r>
      <w:r>
        <w:rPr>
          <w:rFonts w:ascii="Roboto" w:hAnsi="Roboto"/>
          <w:b/>
          <w:bCs/>
          <w:sz w:val="24"/>
          <w:szCs w:val="24"/>
          <w:lang w:val="nl-NL"/>
        </w:rPr>
        <w:br/>
      </w:r>
      <w:r w:rsidRPr="002C15DA">
        <w:rPr>
          <w:rFonts w:ascii="Times New Roman" w:eastAsia="Times New Roman" w:hAnsi="Times New Roman" w:cs="Times New Roman"/>
          <w:noProof/>
          <w:sz w:val="24"/>
          <w:szCs w:val="24"/>
        </w:rPr>
        <w:pict w14:anchorId="591640B6">
          <v:shape id="Image 383" o:spid="_x0000_i1029" type="#_x0000_t75" style="width:2in;height:58.9pt;visibility:visible;mso-wrap-style:square">
            <v:imagedata r:id="rId12" o:title=""/>
          </v:shape>
        </w:pict>
      </w:r>
    </w:p>
    <w:p w14:paraId="6942A46B" w14:textId="4F77E444" w:rsidR="002C15DA" w:rsidRPr="00A968B2" w:rsidRDefault="002C15DA" w:rsidP="002C15DA">
      <w:pPr>
        <w:pBdr>
          <w:top w:val="single" w:sz="4" w:space="1" w:color="auto"/>
          <w:bottom w:val="single" w:sz="4" w:space="1" w:color="auto"/>
        </w:pBdr>
        <w:spacing w:line="276" w:lineRule="auto"/>
        <w:jc w:val="center"/>
        <w:rPr>
          <w:rFonts w:ascii="Roboto" w:hAnsi="Roboto"/>
          <w:b/>
          <w:bCs/>
          <w:sz w:val="24"/>
          <w:szCs w:val="24"/>
        </w:rPr>
      </w:pPr>
      <w:r w:rsidRPr="00A968B2">
        <w:rPr>
          <w:rFonts w:ascii="Roboto" w:hAnsi="Roboto"/>
          <w:b/>
          <w:bCs/>
          <w:sz w:val="24"/>
          <w:szCs w:val="24"/>
        </w:rPr>
        <w:t xml:space="preserve">Conditions générales de Finexpo </w:t>
      </w:r>
      <w:r w:rsidRPr="002C15DA">
        <w:rPr>
          <w:rFonts w:ascii="Roboto" w:hAnsi="Roboto"/>
          <w:b/>
          <w:bCs/>
          <w:sz w:val="24"/>
          <w:szCs w:val="24"/>
        </w:rPr>
        <w:t>réglant l’octroi du soutien aux exportations dans le cadre de la stabilisation d’intérêt d’un crédit en euros portant sur l’exportation de biens d’équipement belges et de prestations y afférentes</w:t>
      </w:r>
    </w:p>
    <w:p w14:paraId="44CEF3B9" w14:textId="77777777" w:rsidR="00347DC2" w:rsidRPr="00310FAB" w:rsidRDefault="00347DC2" w:rsidP="002C15DA">
      <w:pPr>
        <w:spacing w:line="276" w:lineRule="auto"/>
        <w:jc w:val="both"/>
        <w:rPr>
          <w:rFonts w:ascii="Roboto" w:eastAsia="Times New Roman" w:hAnsi="Roboto"/>
          <w:sz w:val="22"/>
          <w:szCs w:val="22"/>
        </w:rPr>
      </w:pPr>
    </w:p>
    <w:p w14:paraId="5268D686" w14:textId="77777777" w:rsidR="00347DC2" w:rsidRPr="00310FAB" w:rsidRDefault="00347DC2" w:rsidP="004B574F">
      <w:pPr>
        <w:numPr>
          <w:ilvl w:val="0"/>
          <w:numId w:val="1"/>
        </w:numPr>
        <w:spacing w:line="276" w:lineRule="auto"/>
        <w:ind w:left="284" w:right="180" w:hanging="284"/>
        <w:jc w:val="both"/>
        <w:rPr>
          <w:rFonts w:ascii="Roboto" w:eastAsia="Times New Roman" w:hAnsi="Roboto"/>
          <w:sz w:val="22"/>
          <w:szCs w:val="22"/>
        </w:rPr>
      </w:pPr>
      <w:r w:rsidRPr="00310FAB">
        <w:rPr>
          <w:rFonts w:ascii="Roboto" w:eastAsia="Times New Roman" w:hAnsi="Roboto"/>
          <w:sz w:val="22"/>
          <w:szCs w:val="22"/>
        </w:rPr>
        <w:t>La contribution de l’Etat prend la forme d’une garantie donnée à la banque ou aux banques intervenantes que le taux d’intérêt fixe du crédit</w:t>
      </w:r>
      <w:r w:rsidR="00C05229" w:rsidRPr="00310FAB">
        <w:rPr>
          <w:rFonts w:ascii="Roboto" w:eastAsia="Times New Roman" w:hAnsi="Roboto"/>
          <w:sz w:val="22"/>
          <w:szCs w:val="22"/>
        </w:rPr>
        <w:t xml:space="preserve"> </w:t>
      </w:r>
      <w:r w:rsidRPr="00310FAB">
        <w:rPr>
          <w:rFonts w:ascii="Roboto" w:eastAsia="Times New Roman" w:hAnsi="Roboto"/>
          <w:sz w:val="22"/>
          <w:szCs w:val="22"/>
        </w:rPr>
        <w:t xml:space="preserve">garanti à un emprunteur étranger pour le financement de crédits liés à l’exportation de biens d’équipement belges et de prestations y afférentes sera stabilisé pendant la durée du financement, en cas de recours par </w:t>
      </w:r>
      <w:proofErr w:type="spellStart"/>
      <w:r w:rsidRPr="00310FAB">
        <w:rPr>
          <w:rFonts w:ascii="Roboto" w:eastAsia="Times New Roman" w:hAnsi="Roboto"/>
          <w:sz w:val="22"/>
          <w:szCs w:val="22"/>
        </w:rPr>
        <w:t>la</w:t>
      </w:r>
      <w:proofErr w:type="spellEnd"/>
      <w:r w:rsidRPr="00310FAB">
        <w:rPr>
          <w:rFonts w:ascii="Roboto" w:eastAsia="Times New Roman" w:hAnsi="Roboto"/>
          <w:sz w:val="22"/>
          <w:szCs w:val="22"/>
        </w:rPr>
        <w:t xml:space="preserve"> ou lesdites banques à des emprunts sur le marché international de l’Euro.</w:t>
      </w:r>
    </w:p>
    <w:p w14:paraId="1AFAB61D" w14:textId="77777777" w:rsidR="00347DC2" w:rsidRPr="00310FAB" w:rsidRDefault="00347DC2" w:rsidP="004B574F">
      <w:pPr>
        <w:tabs>
          <w:tab w:val="left" w:pos="1120"/>
        </w:tabs>
        <w:spacing w:line="276" w:lineRule="auto"/>
        <w:ind w:left="284" w:hanging="284"/>
        <w:jc w:val="both"/>
        <w:rPr>
          <w:rFonts w:ascii="Roboto" w:eastAsia="Times New Roman" w:hAnsi="Roboto"/>
          <w:sz w:val="22"/>
          <w:szCs w:val="22"/>
        </w:rPr>
      </w:pPr>
    </w:p>
    <w:p w14:paraId="1F292B70" w14:textId="77777777" w:rsidR="00347DC2" w:rsidRPr="00310FAB" w:rsidRDefault="00347DC2" w:rsidP="004B574F">
      <w:pPr>
        <w:numPr>
          <w:ilvl w:val="0"/>
          <w:numId w:val="1"/>
        </w:numPr>
        <w:spacing w:line="276" w:lineRule="auto"/>
        <w:ind w:left="284" w:right="80" w:hanging="284"/>
        <w:jc w:val="both"/>
        <w:rPr>
          <w:rFonts w:ascii="Roboto" w:eastAsia="Times New Roman" w:hAnsi="Roboto"/>
          <w:sz w:val="22"/>
          <w:szCs w:val="22"/>
        </w:rPr>
      </w:pPr>
      <w:r w:rsidRPr="00310FAB">
        <w:rPr>
          <w:rFonts w:ascii="Roboto" w:eastAsia="Times New Roman" w:hAnsi="Roboto"/>
          <w:sz w:val="22"/>
          <w:szCs w:val="22"/>
        </w:rPr>
        <w:t xml:space="preserve">Le taux d’intérêt fixe garanti à l’emprunteur étranger est déterminé par le Ministre </w:t>
      </w:r>
      <w:r w:rsidR="00437ED2" w:rsidRPr="00310FAB">
        <w:rPr>
          <w:rFonts w:ascii="Roboto" w:eastAsia="Times New Roman" w:hAnsi="Roboto"/>
          <w:sz w:val="22"/>
          <w:szCs w:val="22"/>
        </w:rPr>
        <w:t xml:space="preserve">ayant le </w:t>
      </w:r>
      <w:r w:rsidRPr="00310FAB">
        <w:rPr>
          <w:rFonts w:ascii="Roboto" w:eastAsia="Times New Roman" w:hAnsi="Roboto"/>
          <w:sz w:val="22"/>
          <w:szCs w:val="22"/>
        </w:rPr>
        <w:t xml:space="preserve">Commerce extérieur </w:t>
      </w:r>
      <w:r w:rsidR="00437ED2" w:rsidRPr="00310FAB">
        <w:rPr>
          <w:rFonts w:ascii="Roboto" w:eastAsia="Times New Roman" w:hAnsi="Roboto"/>
          <w:sz w:val="22"/>
          <w:szCs w:val="22"/>
        </w:rPr>
        <w:t xml:space="preserve">dans ses attributions </w:t>
      </w:r>
      <w:r w:rsidRPr="00310FAB">
        <w:rPr>
          <w:rFonts w:ascii="Roboto" w:eastAsia="Times New Roman" w:hAnsi="Roboto"/>
          <w:sz w:val="22"/>
          <w:szCs w:val="22"/>
        </w:rPr>
        <w:t>en tenant compte des obligations</w:t>
      </w:r>
      <w:r w:rsidR="00C05229" w:rsidRPr="00310FAB">
        <w:rPr>
          <w:rFonts w:ascii="Roboto" w:eastAsia="Times New Roman" w:hAnsi="Roboto"/>
          <w:sz w:val="22"/>
          <w:szCs w:val="22"/>
        </w:rPr>
        <w:t xml:space="preserve"> </w:t>
      </w:r>
      <w:r w:rsidRPr="00310FAB">
        <w:rPr>
          <w:rFonts w:ascii="Roboto" w:eastAsia="Times New Roman" w:hAnsi="Roboto"/>
          <w:sz w:val="22"/>
          <w:szCs w:val="22"/>
        </w:rPr>
        <w:t>internationales de la Belgique.</w:t>
      </w:r>
    </w:p>
    <w:p w14:paraId="0974244F" w14:textId="77777777" w:rsidR="00347DC2" w:rsidRPr="00310FAB" w:rsidRDefault="00347DC2" w:rsidP="004B574F">
      <w:pPr>
        <w:tabs>
          <w:tab w:val="left" w:pos="1120"/>
        </w:tabs>
        <w:spacing w:line="276" w:lineRule="auto"/>
        <w:ind w:left="284" w:hanging="284"/>
        <w:jc w:val="both"/>
        <w:rPr>
          <w:rFonts w:ascii="Roboto" w:eastAsia="Times New Roman" w:hAnsi="Roboto"/>
          <w:sz w:val="22"/>
          <w:szCs w:val="22"/>
        </w:rPr>
      </w:pPr>
    </w:p>
    <w:p w14:paraId="47A19C27" w14:textId="77777777" w:rsidR="00347DC2" w:rsidRPr="00310FAB" w:rsidRDefault="00347DC2" w:rsidP="004B574F">
      <w:pPr>
        <w:numPr>
          <w:ilvl w:val="0"/>
          <w:numId w:val="1"/>
        </w:numPr>
        <w:spacing w:line="276" w:lineRule="auto"/>
        <w:ind w:left="284" w:right="80" w:hanging="284"/>
        <w:jc w:val="both"/>
        <w:rPr>
          <w:rFonts w:ascii="Roboto" w:eastAsia="Times New Roman" w:hAnsi="Roboto"/>
          <w:sz w:val="22"/>
          <w:szCs w:val="22"/>
        </w:rPr>
      </w:pPr>
      <w:r w:rsidRPr="00310FAB">
        <w:rPr>
          <w:rFonts w:ascii="Roboto" w:eastAsia="Times New Roman" w:hAnsi="Roboto"/>
          <w:sz w:val="22"/>
          <w:szCs w:val="22"/>
        </w:rPr>
        <w:t>Les règles générales du mécanisme de stabilisation du taux d’intérêt pour les contrats d’exportation dont le paiement est libellé en Euro sont les suivantes :</w:t>
      </w:r>
    </w:p>
    <w:p w14:paraId="1DF05984" w14:textId="77777777" w:rsidR="00347DC2" w:rsidRPr="00310FAB" w:rsidRDefault="00347DC2" w:rsidP="00981629">
      <w:pPr>
        <w:tabs>
          <w:tab w:val="left" w:pos="1120"/>
        </w:tabs>
        <w:spacing w:line="276" w:lineRule="auto"/>
        <w:jc w:val="both"/>
        <w:rPr>
          <w:rFonts w:ascii="Roboto" w:eastAsia="Times New Roman" w:hAnsi="Roboto"/>
          <w:sz w:val="22"/>
          <w:szCs w:val="22"/>
        </w:rPr>
      </w:pPr>
    </w:p>
    <w:p w14:paraId="28A6CC29" w14:textId="1458F522" w:rsidR="00347DC2" w:rsidRPr="00310FAB" w:rsidRDefault="00347DC2" w:rsidP="004B574F">
      <w:pPr>
        <w:numPr>
          <w:ilvl w:val="0"/>
          <w:numId w:val="7"/>
        </w:numPr>
        <w:tabs>
          <w:tab w:val="left" w:pos="1120"/>
        </w:tabs>
        <w:spacing w:line="276" w:lineRule="auto"/>
        <w:ind w:left="1134" w:hanging="774"/>
        <w:jc w:val="both"/>
        <w:rPr>
          <w:rFonts w:ascii="Roboto" w:eastAsia="Times New Roman" w:hAnsi="Roboto"/>
          <w:sz w:val="22"/>
          <w:szCs w:val="22"/>
        </w:rPr>
      </w:pPr>
      <w:r w:rsidRPr="00310FAB">
        <w:rPr>
          <w:rFonts w:ascii="Roboto" w:eastAsia="Times New Roman" w:hAnsi="Roboto"/>
          <w:sz w:val="22"/>
          <w:szCs w:val="22"/>
        </w:rPr>
        <w:t>Le taux d’intérêt applicable aux emprunts faits</w:t>
      </w:r>
      <w:r w:rsidR="00C05229" w:rsidRPr="00310FAB">
        <w:rPr>
          <w:rFonts w:ascii="Roboto" w:eastAsia="Times New Roman" w:hAnsi="Roboto"/>
          <w:sz w:val="22"/>
          <w:szCs w:val="22"/>
        </w:rPr>
        <w:t xml:space="preserve"> </w:t>
      </w:r>
      <w:r w:rsidRPr="00310FAB">
        <w:rPr>
          <w:rFonts w:ascii="Roboto" w:eastAsia="Times New Roman" w:hAnsi="Roboto"/>
          <w:sz w:val="22"/>
          <w:szCs w:val="22"/>
        </w:rPr>
        <w:t>par la ou les banques intervenantes pour le financement des crédits visés au 1) ci-dessus est la moyenne arithmétique arrondie au 1/16è supérieur des deux taux d’intérêt émanant d’u</w:t>
      </w:r>
      <w:r w:rsidR="00C05229" w:rsidRPr="00310FAB">
        <w:rPr>
          <w:rFonts w:ascii="Roboto" w:eastAsia="Times New Roman" w:hAnsi="Roboto"/>
          <w:sz w:val="22"/>
          <w:szCs w:val="22"/>
        </w:rPr>
        <w:t>ne</w:t>
      </w:r>
      <w:r w:rsidRPr="00310FAB">
        <w:rPr>
          <w:rFonts w:ascii="Roboto" w:eastAsia="Times New Roman" w:hAnsi="Roboto"/>
          <w:sz w:val="22"/>
          <w:szCs w:val="22"/>
        </w:rPr>
        <w:t xml:space="preserve"> part de la banque secrétaire et d’autre part, ceux repris sur l’écran Reuter. Le taux d’intérêt mentionné est le taux première classe sur le marché de l’Euro de Bruxelles (EURIBOR = </w:t>
      </w:r>
      <w:proofErr w:type="spellStart"/>
      <w:r w:rsidRPr="00310FAB">
        <w:rPr>
          <w:rFonts w:ascii="Roboto" w:eastAsia="Times New Roman" w:hAnsi="Roboto"/>
          <w:sz w:val="22"/>
          <w:szCs w:val="22"/>
        </w:rPr>
        <w:t>European</w:t>
      </w:r>
      <w:proofErr w:type="spellEnd"/>
      <w:r w:rsidRPr="00310FAB">
        <w:rPr>
          <w:rFonts w:ascii="Roboto" w:eastAsia="Times New Roman" w:hAnsi="Roboto"/>
          <w:sz w:val="22"/>
          <w:szCs w:val="22"/>
        </w:rPr>
        <w:t xml:space="preserve"> Interbank </w:t>
      </w:r>
      <w:proofErr w:type="spellStart"/>
      <w:r w:rsidRPr="00310FAB">
        <w:rPr>
          <w:rFonts w:ascii="Roboto" w:eastAsia="Times New Roman" w:hAnsi="Roboto"/>
          <w:sz w:val="22"/>
          <w:szCs w:val="22"/>
        </w:rPr>
        <w:t>Offered</w:t>
      </w:r>
      <w:proofErr w:type="spellEnd"/>
      <w:r w:rsidRPr="00310FAB">
        <w:rPr>
          <w:rFonts w:ascii="Roboto" w:eastAsia="Times New Roman" w:hAnsi="Roboto"/>
          <w:sz w:val="22"/>
          <w:szCs w:val="22"/>
        </w:rPr>
        <w:t xml:space="preserve"> Rate) à 11 heures locales établi par la Fédération bancaire de l’Union européenne deux jours ouvrables avant la date d’utilisation ou de renouvellement du crédit pour des dépôts de même montant en Euro pour la durée comprise entre la date d’utilisation ou de renouvellement du crédit et le dernier jour de la période de six mois mentionnée au point 5 ci-dessous.</w:t>
      </w:r>
    </w:p>
    <w:p w14:paraId="0313D57A" w14:textId="77777777" w:rsidR="00347DC2" w:rsidRPr="00310FAB" w:rsidRDefault="00347DC2" w:rsidP="004B574F">
      <w:pPr>
        <w:tabs>
          <w:tab w:val="left" w:pos="1120"/>
        </w:tabs>
        <w:spacing w:line="276" w:lineRule="auto"/>
        <w:ind w:left="1134" w:hanging="774"/>
        <w:jc w:val="both"/>
        <w:rPr>
          <w:rFonts w:ascii="Roboto" w:eastAsia="Times New Roman" w:hAnsi="Roboto"/>
          <w:sz w:val="22"/>
          <w:szCs w:val="22"/>
        </w:rPr>
      </w:pPr>
    </w:p>
    <w:p w14:paraId="2AF16231" w14:textId="09F94E1E" w:rsidR="00347DC2" w:rsidRPr="00310FAB" w:rsidRDefault="00347DC2" w:rsidP="004B574F">
      <w:pPr>
        <w:numPr>
          <w:ilvl w:val="0"/>
          <w:numId w:val="7"/>
        </w:numPr>
        <w:tabs>
          <w:tab w:val="left" w:pos="1120"/>
        </w:tabs>
        <w:spacing w:line="276" w:lineRule="auto"/>
        <w:ind w:left="1134" w:hanging="774"/>
        <w:jc w:val="both"/>
        <w:rPr>
          <w:rFonts w:ascii="Roboto" w:eastAsia="Times New Roman" w:hAnsi="Roboto"/>
          <w:sz w:val="22"/>
          <w:szCs w:val="22"/>
        </w:rPr>
      </w:pPr>
      <w:r w:rsidRPr="00310FAB">
        <w:rPr>
          <w:rFonts w:ascii="Roboto" w:eastAsia="Times New Roman" w:hAnsi="Roboto"/>
          <w:sz w:val="22"/>
          <w:szCs w:val="22"/>
        </w:rPr>
        <w:t>La stabilisation s’opère par différence entre le</w:t>
      </w:r>
      <w:r w:rsidR="00C05229" w:rsidRPr="00310FAB">
        <w:rPr>
          <w:rFonts w:ascii="Roboto" w:eastAsia="Times New Roman" w:hAnsi="Roboto"/>
          <w:sz w:val="22"/>
          <w:szCs w:val="22"/>
        </w:rPr>
        <w:t xml:space="preserve"> </w:t>
      </w:r>
      <w:r w:rsidRPr="00310FAB">
        <w:rPr>
          <w:rFonts w:ascii="Roboto" w:eastAsia="Times New Roman" w:hAnsi="Roboto"/>
          <w:sz w:val="22"/>
          <w:szCs w:val="22"/>
        </w:rPr>
        <w:t>taux stabilisé garanti et le taux d’intérêt visé au 3a) ci-dessus, actuellement augmenté d’une</w:t>
      </w:r>
      <w:r w:rsidR="00C05229" w:rsidRPr="00310FAB">
        <w:rPr>
          <w:rFonts w:ascii="Roboto" w:eastAsia="Times New Roman" w:hAnsi="Roboto"/>
          <w:sz w:val="22"/>
          <w:szCs w:val="22"/>
        </w:rPr>
        <w:t xml:space="preserve"> </w:t>
      </w:r>
      <w:r w:rsidRPr="00310FAB">
        <w:rPr>
          <w:rFonts w:ascii="Roboto" w:eastAsia="Times New Roman" w:hAnsi="Roboto"/>
          <w:sz w:val="22"/>
          <w:szCs w:val="22"/>
        </w:rPr>
        <w:t>commission bancaire de 0,75% au profit de la ou des banques intervenantes.</w:t>
      </w:r>
    </w:p>
    <w:p w14:paraId="0950C67A" w14:textId="77777777" w:rsidR="00347DC2" w:rsidRPr="00310FAB" w:rsidRDefault="00347DC2" w:rsidP="004B574F">
      <w:pPr>
        <w:tabs>
          <w:tab w:val="left" w:pos="1120"/>
        </w:tabs>
        <w:spacing w:line="276" w:lineRule="auto"/>
        <w:ind w:left="1134" w:hanging="774"/>
        <w:jc w:val="both"/>
        <w:rPr>
          <w:rFonts w:ascii="Roboto" w:eastAsia="Times New Roman" w:hAnsi="Roboto"/>
          <w:sz w:val="22"/>
          <w:szCs w:val="22"/>
        </w:rPr>
      </w:pPr>
    </w:p>
    <w:p w14:paraId="7ADAE42C" w14:textId="17534B8E" w:rsidR="00347DC2" w:rsidRPr="00310FAB" w:rsidRDefault="004B574F" w:rsidP="004B574F">
      <w:pPr>
        <w:tabs>
          <w:tab w:val="left" w:pos="1120"/>
        </w:tabs>
        <w:spacing w:line="276" w:lineRule="auto"/>
        <w:ind w:left="1134" w:right="100" w:hanging="774"/>
        <w:jc w:val="both"/>
        <w:rPr>
          <w:rFonts w:ascii="Roboto" w:eastAsia="Times New Roman" w:hAnsi="Roboto"/>
          <w:sz w:val="22"/>
          <w:szCs w:val="22"/>
        </w:rPr>
      </w:pPr>
      <w:r>
        <w:rPr>
          <w:rFonts w:ascii="Roboto" w:eastAsia="Times New Roman" w:hAnsi="Roboto"/>
          <w:sz w:val="22"/>
          <w:szCs w:val="22"/>
        </w:rPr>
        <w:tab/>
      </w:r>
      <w:r w:rsidR="00347DC2" w:rsidRPr="00310FAB">
        <w:rPr>
          <w:rFonts w:ascii="Roboto" w:eastAsia="Times New Roman" w:hAnsi="Roboto"/>
          <w:sz w:val="22"/>
          <w:szCs w:val="22"/>
        </w:rPr>
        <w:t xml:space="preserve">Si le taux Euribor augmenté de la commission bancaire susmentionnée est supérieur au taux fixe garanti à l’emprunteur étranger, </w:t>
      </w:r>
      <w:r w:rsidR="00C05229" w:rsidRPr="00310FAB">
        <w:rPr>
          <w:rFonts w:ascii="Roboto" w:eastAsia="Times New Roman" w:hAnsi="Roboto"/>
          <w:sz w:val="22"/>
          <w:szCs w:val="22"/>
        </w:rPr>
        <w:t>Finexpo</w:t>
      </w:r>
      <w:r w:rsidR="00347DC2" w:rsidRPr="00310FAB">
        <w:rPr>
          <w:rFonts w:ascii="Roboto" w:eastAsia="Times New Roman" w:hAnsi="Roboto"/>
          <w:sz w:val="22"/>
          <w:szCs w:val="22"/>
        </w:rPr>
        <w:t xml:space="preserve"> prendra en charge la différence de coût du financement qui en résulte.</w:t>
      </w:r>
    </w:p>
    <w:p w14:paraId="3A70727B" w14:textId="77777777" w:rsidR="00347DC2" w:rsidRPr="00310FAB" w:rsidRDefault="00347DC2" w:rsidP="004B574F">
      <w:pPr>
        <w:tabs>
          <w:tab w:val="left" w:pos="1120"/>
        </w:tabs>
        <w:spacing w:line="276" w:lineRule="auto"/>
        <w:ind w:left="1134" w:hanging="774"/>
        <w:jc w:val="both"/>
        <w:rPr>
          <w:rFonts w:ascii="Roboto" w:eastAsia="Times New Roman" w:hAnsi="Roboto"/>
          <w:sz w:val="22"/>
          <w:szCs w:val="22"/>
        </w:rPr>
      </w:pPr>
    </w:p>
    <w:p w14:paraId="58D9E8D0" w14:textId="48DDE1E9" w:rsidR="00347DC2" w:rsidRDefault="004B574F" w:rsidP="004B574F">
      <w:pPr>
        <w:tabs>
          <w:tab w:val="left" w:pos="1120"/>
        </w:tabs>
        <w:spacing w:line="276" w:lineRule="auto"/>
        <w:ind w:left="1134" w:right="160" w:hanging="774"/>
        <w:jc w:val="both"/>
        <w:rPr>
          <w:rFonts w:ascii="Roboto" w:eastAsia="Times New Roman" w:hAnsi="Roboto"/>
          <w:sz w:val="22"/>
          <w:szCs w:val="22"/>
        </w:rPr>
      </w:pPr>
      <w:r>
        <w:rPr>
          <w:rFonts w:ascii="Roboto" w:eastAsia="Times New Roman" w:hAnsi="Roboto"/>
          <w:sz w:val="22"/>
          <w:szCs w:val="22"/>
        </w:rPr>
        <w:tab/>
      </w:r>
      <w:r w:rsidR="00347DC2" w:rsidRPr="00310FAB">
        <w:rPr>
          <w:rFonts w:ascii="Roboto" w:eastAsia="Times New Roman" w:hAnsi="Roboto"/>
          <w:sz w:val="22"/>
          <w:szCs w:val="22"/>
        </w:rPr>
        <w:t xml:space="preserve">Si au contraire, ce taux EURIBOR augmenté de la commission bancaire susmentionnée est inférieur au taux fixe garanti à l’emprunteur étranger, la (ou les) banque(s) intervenante(s) paiera (paieront) à </w:t>
      </w:r>
      <w:r w:rsidR="00C05229" w:rsidRPr="00310FAB">
        <w:rPr>
          <w:rFonts w:ascii="Roboto" w:eastAsia="Times New Roman" w:hAnsi="Roboto"/>
          <w:sz w:val="22"/>
          <w:szCs w:val="22"/>
        </w:rPr>
        <w:t>Finexpo</w:t>
      </w:r>
      <w:r w:rsidR="00347DC2" w:rsidRPr="00310FAB">
        <w:rPr>
          <w:rFonts w:ascii="Roboto" w:eastAsia="Times New Roman" w:hAnsi="Roboto"/>
          <w:sz w:val="22"/>
          <w:szCs w:val="22"/>
        </w:rPr>
        <w:t xml:space="preserve"> la différence entre le taux fixe garanti supporté par</w:t>
      </w:r>
      <w:bookmarkStart w:id="0" w:name="page2"/>
      <w:bookmarkEnd w:id="0"/>
      <w:r w:rsidR="004A79A9">
        <w:rPr>
          <w:rFonts w:ascii="Roboto" w:eastAsia="Times New Roman" w:hAnsi="Roboto"/>
          <w:sz w:val="22"/>
          <w:szCs w:val="22"/>
        </w:rPr>
        <w:t xml:space="preserve"> </w:t>
      </w:r>
      <w:r w:rsidR="00347DC2" w:rsidRPr="00310FAB">
        <w:rPr>
          <w:rFonts w:ascii="Roboto" w:eastAsia="Times New Roman" w:hAnsi="Roboto"/>
          <w:sz w:val="22"/>
          <w:szCs w:val="22"/>
        </w:rPr>
        <w:t xml:space="preserve">l’emprunteur étranger et </w:t>
      </w:r>
      <w:r w:rsidR="00347DC2" w:rsidRPr="00310FAB">
        <w:rPr>
          <w:rFonts w:ascii="Roboto" w:eastAsia="Times New Roman" w:hAnsi="Roboto"/>
          <w:sz w:val="22"/>
          <w:szCs w:val="22"/>
        </w:rPr>
        <w:lastRenderedPageBreak/>
        <w:t>le taux de refinancement majoré de la commission bancaire supporté par la (ou les) banque(s) intervenante(s).</w:t>
      </w:r>
    </w:p>
    <w:p w14:paraId="033085FC" w14:textId="77777777" w:rsidR="004B574F" w:rsidRPr="00310FAB" w:rsidRDefault="004B574F" w:rsidP="004B574F">
      <w:pPr>
        <w:tabs>
          <w:tab w:val="left" w:pos="1120"/>
        </w:tabs>
        <w:spacing w:line="276" w:lineRule="auto"/>
        <w:ind w:left="1134" w:right="160" w:hanging="774"/>
        <w:jc w:val="both"/>
        <w:rPr>
          <w:rFonts w:ascii="Roboto" w:eastAsia="Times New Roman" w:hAnsi="Roboto"/>
          <w:sz w:val="22"/>
          <w:szCs w:val="22"/>
        </w:rPr>
      </w:pPr>
    </w:p>
    <w:p w14:paraId="4042628E" w14:textId="77777777" w:rsidR="00347DC2" w:rsidRPr="00310FAB" w:rsidRDefault="00347DC2" w:rsidP="004B574F">
      <w:pPr>
        <w:numPr>
          <w:ilvl w:val="0"/>
          <w:numId w:val="2"/>
        </w:numPr>
        <w:spacing w:line="276" w:lineRule="auto"/>
        <w:ind w:left="284" w:right="200" w:hanging="284"/>
        <w:jc w:val="both"/>
        <w:rPr>
          <w:rFonts w:ascii="Roboto" w:eastAsia="Times New Roman" w:hAnsi="Roboto"/>
          <w:sz w:val="22"/>
          <w:szCs w:val="22"/>
        </w:rPr>
      </w:pPr>
      <w:r w:rsidRPr="00310FAB">
        <w:rPr>
          <w:rFonts w:ascii="Roboto" w:eastAsia="Times New Roman" w:hAnsi="Roboto"/>
          <w:sz w:val="22"/>
          <w:szCs w:val="22"/>
        </w:rPr>
        <w:t>Les intérêts sont calculés en tenant compte du nombre exact de jours, sur base annuelle de 360 jours.</w:t>
      </w:r>
    </w:p>
    <w:p w14:paraId="4DCBA5D8" w14:textId="77777777" w:rsidR="00347DC2" w:rsidRPr="00310FAB" w:rsidRDefault="00347DC2" w:rsidP="004B574F">
      <w:pPr>
        <w:spacing w:line="276" w:lineRule="auto"/>
        <w:ind w:left="284" w:hanging="284"/>
        <w:jc w:val="both"/>
        <w:rPr>
          <w:rFonts w:ascii="Roboto" w:eastAsia="Times New Roman" w:hAnsi="Roboto"/>
          <w:sz w:val="22"/>
          <w:szCs w:val="22"/>
        </w:rPr>
      </w:pPr>
    </w:p>
    <w:p w14:paraId="18A63B85" w14:textId="77777777" w:rsidR="00347DC2" w:rsidRPr="00310FAB" w:rsidRDefault="00347DC2" w:rsidP="004B574F">
      <w:pPr>
        <w:numPr>
          <w:ilvl w:val="0"/>
          <w:numId w:val="2"/>
        </w:numPr>
        <w:spacing w:line="276" w:lineRule="auto"/>
        <w:ind w:left="284" w:right="120" w:hanging="284"/>
        <w:jc w:val="both"/>
        <w:rPr>
          <w:rFonts w:ascii="Roboto" w:eastAsia="Times New Roman" w:hAnsi="Roboto"/>
          <w:sz w:val="22"/>
          <w:szCs w:val="22"/>
        </w:rPr>
      </w:pPr>
      <w:r w:rsidRPr="00310FAB">
        <w:rPr>
          <w:rFonts w:ascii="Roboto" w:eastAsia="Times New Roman" w:hAnsi="Roboto"/>
          <w:sz w:val="22"/>
          <w:szCs w:val="22"/>
        </w:rPr>
        <w:t>La liquidation des paiements relatifs au mécanisme de stabilisation décrit au point 3 ci-dessus, s’effectue le dernier jour de chaque période de 6 mois, par référence à la date butoir du début de remboursement du crédit par le débiteur</w:t>
      </w:r>
      <w:r w:rsidR="00C05229" w:rsidRPr="00310FAB">
        <w:rPr>
          <w:rFonts w:ascii="Roboto" w:eastAsia="Times New Roman" w:hAnsi="Roboto"/>
          <w:sz w:val="22"/>
          <w:szCs w:val="22"/>
        </w:rPr>
        <w:t xml:space="preserve"> </w:t>
      </w:r>
      <w:r w:rsidRPr="00310FAB">
        <w:rPr>
          <w:rFonts w:ascii="Roboto" w:eastAsia="Times New Roman" w:hAnsi="Roboto"/>
          <w:sz w:val="22"/>
          <w:szCs w:val="22"/>
        </w:rPr>
        <w:t>étranger ou des sous-tranches du crédit, prévue contractuellement. Des dispositions</w:t>
      </w:r>
      <w:r w:rsidR="00C05229" w:rsidRPr="00310FAB">
        <w:rPr>
          <w:rFonts w:ascii="Roboto" w:eastAsia="Times New Roman" w:hAnsi="Roboto"/>
          <w:sz w:val="22"/>
          <w:szCs w:val="22"/>
        </w:rPr>
        <w:t xml:space="preserve"> </w:t>
      </w:r>
      <w:r w:rsidRPr="00310FAB">
        <w:rPr>
          <w:rFonts w:ascii="Roboto" w:eastAsia="Times New Roman" w:hAnsi="Roboto"/>
          <w:sz w:val="22"/>
          <w:szCs w:val="22"/>
        </w:rPr>
        <w:t xml:space="preserve">particulières à chaque contrat seront prises pour tenir compte de la date de livraison ou de réception provisoire effective. Tout paiement de principal ou d’intérêt ne tombant pas </w:t>
      </w:r>
      <w:r w:rsidR="00C05229" w:rsidRPr="00310FAB">
        <w:rPr>
          <w:rFonts w:ascii="Roboto" w:eastAsia="Times New Roman" w:hAnsi="Roboto"/>
          <w:sz w:val="22"/>
          <w:szCs w:val="22"/>
        </w:rPr>
        <w:t>un</w:t>
      </w:r>
      <w:r w:rsidRPr="00310FAB">
        <w:rPr>
          <w:rFonts w:ascii="Roboto" w:eastAsia="Times New Roman" w:hAnsi="Roboto"/>
          <w:sz w:val="22"/>
          <w:szCs w:val="22"/>
        </w:rPr>
        <w:t xml:space="preserve"> jour ouvrable sera repoussé au jour ouvrable suivant, à moins que ce report ait pour résultat de faire tomber le jour de paiement dans le mois calendaire suivant, auquel cas le paiement sera effectué le dernier jour ouvrable du mois en cours, et il en sera tenu compte dans le calcul des intérêts.</w:t>
      </w:r>
    </w:p>
    <w:p w14:paraId="3C460DF2" w14:textId="77777777" w:rsidR="00347DC2" w:rsidRPr="00310FAB" w:rsidRDefault="00347DC2" w:rsidP="004B574F">
      <w:pPr>
        <w:spacing w:line="276" w:lineRule="auto"/>
        <w:ind w:left="284" w:hanging="284"/>
        <w:jc w:val="both"/>
        <w:rPr>
          <w:rFonts w:ascii="Roboto" w:eastAsia="Times New Roman" w:hAnsi="Roboto"/>
          <w:sz w:val="22"/>
          <w:szCs w:val="22"/>
        </w:rPr>
      </w:pPr>
    </w:p>
    <w:p w14:paraId="6691D255" w14:textId="77777777" w:rsidR="00347DC2" w:rsidRPr="00310FAB" w:rsidRDefault="00347DC2" w:rsidP="004B574F">
      <w:pPr>
        <w:numPr>
          <w:ilvl w:val="0"/>
          <w:numId w:val="2"/>
        </w:numPr>
        <w:spacing w:line="276" w:lineRule="auto"/>
        <w:ind w:left="284" w:right="100" w:hanging="284"/>
        <w:jc w:val="both"/>
        <w:rPr>
          <w:rFonts w:ascii="Roboto" w:eastAsia="Times New Roman" w:hAnsi="Roboto"/>
          <w:sz w:val="22"/>
          <w:szCs w:val="22"/>
        </w:rPr>
      </w:pPr>
      <w:r w:rsidRPr="00310FAB">
        <w:rPr>
          <w:rFonts w:ascii="Roboto" w:eastAsia="Times New Roman" w:hAnsi="Roboto"/>
          <w:sz w:val="22"/>
          <w:szCs w:val="22"/>
        </w:rPr>
        <w:t>La stabilisation du taux d’intérêt n’est applicable que jusqu’aux échéances en principal initialement prévues.</w:t>
      </w:r>
    </w:p>
    <w:p w14:paraId="033EE36B" w14:textId="77777777" w:rsidR="00347DC2" w:rsidRPr="00310FAB" w:rsidRDefault="00347DC2" w:rsidP="004B574F">
      <w:pPr>
        <w:spacing w:line="276" w:lineRule="auto"/>
        <w:ind w:left="284" w:hanging="284"/>
        <w:jc w:val="both"/>
        <w:rPr>
          <w:rFonts w:ascii="Roboto" w:eastAsia="Times New Roman" w:hAnsi="Roboto"/>
          <w:sz w:val="22"/>
          <w:szCs w:val="22"/>
        </w:rPr>
      </w:pPr>
    </w:p>
    <w:p w14:paraId="10BDA888" w14:textId="77777777" w:rsidR="00165A22" w:rsidRDefault="00347DC2" w:rsidP="004B574F">
      <w:pPr>
        <w:numPr>
          <w:ilvl w:val="0"/>
          <w:numId w:val="2"/>
        </w:numPr>
        <w:spacing w:line="276" w:lineRule="auto"/>
        <w:ind w:left="284" w:right="120" w:hanging="284"/>
        <w:jc w:val="both"/>
        <w:rPr>
          <w:rFonts w:ascii="Roboto" w:eastAsia="Times New Roman" w:hAnsi="Roboto"/>
          <w:sz w:val="22"/>
          <w:szCs w:val="22"/>
        </w:rPr>
      </w:pPr>
      <w:r w:rsidRPr="00310FAB">
        <w:rPr>
          <w:rFonts w:ascii="Roboto" w:eastAsia="Times New Roman" w:hAnsi="Roboto"/>
          <w:sz w:val="22"/>
          <w:szCs w:val="22"/>
        </w:rPr>
        <w:t>La garantie donnée dont il est question au point 1) prend effet à dater du jour où la (ou les) banque(s) intervenante(s) aura (auront) marqué son (leur) accord sur les obligations qui lui (ou leur) est (sont) imposées(s) par les conditions générales énoncées ci-dessus et pour autant que cet accord soit donné au plus tard à la date de mise en vigueur de la convention de financement entre la (ou les) banque(s) intervenante(s) et l’emprunteur étranger.</w:t>
      </w:r>
    </w:p>
    <w:p w14:paraId="56F71BC2" w14:textId="77777777" w:rsidR="00165A22" w:rsidRDefault="00165A22" w:rsidP="004B574F">
      <w:pPr>
        <w:pStyle w:val="Paragraphedeliste"/>
        <w:ind w:left="284" w:hanging="284"/>
        <w:rPr>
          <w:rFonts w:ascii="Roboto" w:eastAsia="Times New Roman" w:hAnsi="Roboto"/>
          <w:sz w:val="22"/>
          <w:szCs w:val="22"/>
        </w:rPr>
      </w:pPr>
    </w:p>
    <w:p w14:paraId="1149B969" w14:textId="66BA362F" w:rsidR="00347DC2" w:rsidRPr="00165A22" w:rsidRDefault="00B944ED" w:rsidP="004B574F">
      <w:pPr>
        <w:numPr>
          <w:ilvl w:val="0"/>
          <w:numId w:val="2"/>
        </w:numPr>
        <w:spacing w:line="276" w:lineRule="auto"/>
        <w:ind w:left="284" w:right="120" w:hanging="284"/>
        <w:jc w:val="both"/>
        <w:rPr>
          <w:rFonts w:ascii="Roboto" w:eastAsia="Times New Roman" w:hAnsi="Roboto"/>
          <w:sz w:val="22"/>
          <w:szCs w:val="22"/>
        </w:rPr>
      </w:pPr>
      <w:r w:rsidRPr="00165A22">
        <w:rPr>
          <w:rFonts w:ascii="Roboto" w:eastAsia="Times New Roman" w:hAnsi="Roboto"/>
          <w:sz w:val="22"/>
          <w:szCs w:val="22"/>
        </w:rPr>
        <w:t>Clause applicable aux remboursements anticipés à l’initiative de l’emprunteur :</w:t>
      </w:r>
    </w:p>
    <w:p w14:paraId="7BBBA608" w14:textId="77777777" w:rsidR="008463E7" w:rsidRDefault="008463E7" w:rsidP="004B574F">
      <w:pPr>
        <w:spacing w:line="276" w:lineRule="auto"/>
        <w:ind w:left="284" w:right="80"/>
        <w:jc w:val="both"/>
        <w:rPr>
          <w:rFonts w:ascii="Roboto" w:eastAsia="Times New Roman" w:hAnsi="Roboto"/>
          <w:sz w:val="22"/>
          <w:szCs w:val="22"/>
        </w:rPr>
      </w:pPr>
    </w:p>
    <w:p w14:paraId="545ABD7F" w14:textId="79F9B5AD" w:rsidR="00347DC2" w:rsidRPr="00310FAB" w:rsidRDefault="00347DC2" w:rsidP="004B574F">
      <w:pPr>
        <w:spacing w:line="276" w:lineRule="auto"/>
        <w:ind w:left="284" w:right="80"/>
        <w:jc w:val="both"/>
        <w:rPr>
          <w:rFonts w:ascii="Roboto" w:eastAsia="Times New Roman" w:hAnsi="Roboto"/>
          <w:sz w:val="22"/>
          <w:szCs w:val="22"/>
        </w:rPr>
      </w:pPr>
      <w:r w:rsidRPr="00310FAB">
        <w:rPr>
          <w:rFonts w:ascii="Roboto" w:eastAsia="Times New Roman" w:hAnsi="Roboto"/>
          <w:sz w:val="22"/>
          <w:szCs w:val="22"/>
        </w:rPr>
        <w:t>L’emprunteur pourra rembourser par anticipation tout ou partie de sa dette, ce remboursement anticipé ne pouvant, sauf accord de l’Etat et du prêteur, porter que sur un nombre entier d’échéances de principal et n’intervenir qu’à une date d’échéance d’intérêts.</w:t>
      </w:r>
    </w:p>
    <w:p w14:paraId="38248E80" w14:textId="77777777" w:rsidR="00347DC2" w:rsidRPr="00310FAB" w:rsidRDefault="00347DC2" w:rsidP="004B574F">
      <w:pPr>
        <w:spacing w:line="276" w:lineRule="auto"/>
        <w:ind w:left="284" w:hanging="284"/>
        <w:jc w:val="both"/>
        <w:rPr>
          <w:rFonts w:ascii="Roboto" w:eastAsia="Times New Roman" w:hAnsi="Roboto"/>
          <w:sz w:val="22"/>
          <w:szCs w:val="22"/>
        </w:rPr>
      </w:pPr>
    </w:p>
    <w:p w14:paraId="6D7B8469" w14:textId="77777777" w:rsidR="00347DC2" w:rsidRPr="00310FAB" w:rsidRDefault="00347DC2" w:rsidP="004B574F">
      <w:pPr>
        <w:spacing w:line="276" w:lineRule="auto"/>
        <w:ind w:left="284" w:right="60"/>
        <w:jc w:val="both"/>
        <w:rPr>
          <w:rFonts w:ascii="Roboto" w:eastAsia="Times New Roman" w:hAnsi="Roboto"/>
          <w:sz w:val="22"/>
          <w:szCs w:val="22"/>
        </w:rPr>
      </w:pPr>
      <w:r w:rsidRPr="00310FAB">
        <w:rPr>
          <w:rFonts w:ascii="Roboto" w:eastAsia="Times New Roman" w:hAnsi="Roboto"/>
          <w:sz w:val="22"/>
          <w:szCs w:val="22"/>
        </w:rPr>
        <w:t>Cette faculté de remboursement anticipé est subordonnée à un préavis de 1 mois notifié par le prêteur au Secrétariat de Finexpo.</w:t>
      </w:r>
    </w:p>
    <w:p w14:paraId="3693AE06" w14:textId="77777777" w:rsidR="00347DC2" w:rsidRPr="00310FAB" w:rsidRDefault="00347DC2" w:rsidP="004B574F">
      <w:pPr>
        <w:spacing w:line="276" w:lineRule="auto"/>
        <w:ind w:left="284" w:hanging="284"/>
        <w:jc w:val="both"/>
        <w:rPr>
          <w:rFonts w:ascii="Roboto" w:eastAsia="Times New Roman" w:hAnsi="Roboto"/>
          <w:sz w:val="22"/>
          <w:szCs w:val="22"/>
        </w:rPr>
      </w:pPr>
    </w:p>
    <w:p w14:paraId="5A87FC03" w14:textId="77777777" w:rsidR="00347DC2" w:rsidRPr="00310FAB" w:rsidRDefault="00347DC2" w:rsidP="004B574F">
      <w:pPr>
        <w:spacing w:line="276" w:lineRule="auto"/>
        <w:ind w:left="284" w:right="220"/>
        <w:jc w:val="both"/>
        <w:rPr>
          <w:rFonts w:ascii="Roboto" w:eastAsia="Times New Roman" w:hAnsi="Roboto"/>
          <w:sz w:val="22"/>
          <w:szCs w:val="22"/>
        </w:rPr>
      </w:pPr>
      <w:r w:rsidRPr="00310FAB">
        <w:rPr>
          <w:rFonts w:ascii="Roboto" w:eastAsia="Times New Roman" w:hAnsi="Roboto"/>
          <w:sz w:val="22"/>
          <w:szCs w:val="22"/>
        </w:rPr>
        <w:t>Compte tenu de l’engagement irrévocable du prêteur</w:t>
      </w:r>
      <w:r w:rsidR="00A93EA5" w:rsidRPr="00310FAB">
        <w:rPr>
          <w:rFonts w:ascii="Roboto" w:eastAsia="Times New Roman" w:hAnsi="Roboto"/>
          <w:sz w:val="22"/>
          <w:szCs w:val="22"/>
        </w:rPr>
        <w:t xml:space="preserve"> </w:t>
      </w:r>
      <w:r w:rsidRPr="00310FAB">
        <w:rPr>
          <w:rFonts w:ascii="Roboto" w:eastAsia="Times New Roman" w:hAnsi="Roboto"/>
          <w:sz w:val="22"/>
          <w:szCs w:val="22"/>
        </w:rPr>
        <w:t>vis-à-vis de l’Etat qui assure la stabilisation du TICR, tout remboursement anticipé fera obligatoirement l’objet du paiement par le prêteur à l’Etat d’une indemnité calculée de la manière suivante :</w:t>
      </w:r>
    </w:p>
    <w:p w14:paraId="2DDBE525" w14:textId="77777777" w:rsidR="00347DC2" w:rsidRPr="00310FAB" w:rsidRDefault="00347DC2" w:rsidP="004B574F">
      <w:pPr>
        <w:spacing w:line="276" w:lineRule="auto"/>
        <w:ind w:left="284" w:hanging="284"/>
        <w:jc w:val="both"/>
        <w:rPr>
          <w:rFonts w:ascii="Roboto" w:eastAsia="Times New Roman" w:hAnsi="Roboto"/>
          <w:sz w:val="22"/>
          <w:szCs w:val="22"/>
        </w:rPr>
      </w:pPr>
    </w:p>
    <w:p w14:paraId="0068F0AB" w14:textId="78A7BB6B" w:rsidR="00347DC2" w:rsidRPr="00310FAB" w:rsidRDefault="00347DC2" w:rsidP="004B574F">
      <w:pPr>
        <w:spacing w:line="276" w:lineRule="auto"/>
        <w:ind w:left="284" w:right="80"/>
        <w:jc w:val="both"/>
        <w:rPr>
          <w:rFonts w:ascii="Roboto" w:eastAsia="Times New Roman" w:hAnsi="Roboto"/>
          <w:sz w:val="22"/>
          <w:szCs w:val="22"/>
        </w:rPr>
      </w:pPr>
      <w:r w:rsidRPr="00310FAB">
        <w:rPr>
          <w:rFonts w:ascii="Roboto" w:eastAsia="Times New Roman" w:hAnsi="Roboto"/>
          <w:sz w:val="22"/>
          <w:szCs w:val="22"/>
        </w:rPr>
        <w:t>Le calcul de l’indemnité résultera de la différence</w:t>
      </w:r>
      <w:r w:rsidR="00A93EA5" w:rsidRPr="00310FAB">
        <w:rPr>
          <w:rFonts w:ascii="Roboto" w:eastAsia="Times New Roman" w:hAnsi="Roboto"/>
          <w:sz w:val="22"/>
          <w:szCs w:val="22"/>
        </w:rPr>
        <w:t xml:space="preserve"> </w:t>
      </w:r>
      <w:r w:rsidRPr="00310FAB">
        <w:rPr>
          <w:rFonts w:ascii="Roboto" w:eastAsia="Times New Roman" w:hAnsi="Roboto"/>
          <w:sz w:val="22"/>
          <w:szCs w:val="22"/>
        </w:rPr>
        <w:t>positive entre le taux de financement du crédit et le taux de placement constaté sur les marchés financiers pour chacune des échéances remboursées par anticipation et pour chacune des durées résiduelles correspondantes restant à courir. Chacune de ces différences de taux sera appliquée au</w:t>
      </w:r>
      <w:bookmarkStart w:id="1" w:name="page3"/>
      <w:bookmarkEnd w:id="1"/>
      <w:r w:rsidR="005D291E">
        <w:rPr>
          <w:rFonts w:ascii="Roboto" w:eastAsia="Times New Roman" w:hAnsi="Roboto"/>
          <w:sz w:val="22"/>
          <w:szCs w:val="22"/>
        </w:rPr>
        <w:t xml:space="preserve"> </w:t>
      </w:r>
      <w:r w:rsidRPr="00310FAB">
        <w:rPr>
          <w:rFonts w:ascii="Roboto" w:eastAsia="Times New Roman" w:hAnsi="Roboto"/>
          <w:sz w:val="22"/>
          <w:szCs w:val="22"/>
        </w:rPr>
        <w:t>montant de l’échéance correspondante ainsi remboursée sur la période séparant la date du remboursement anticipé de la date du remboursement du principal initialement prévue par ladite échéance. Chacun des montants ainsi obtenus</w:t>
      </w:r>
      <w:r w:rsidR="00A93EA5" w:rsidRPr="00310FAB">
        <w:rPr>
          <w:rFonts w:ascii="Roboto" w:eastAsia="Times New Roman" w:hAnsi="Roboto"/>
          <w:sz w:val="22"/>
          <w:szCs w:val="22"/>
        </w:rPr>
        <w:t xml:space="preserve"> </w:t>
      </w:r>
      <w:r w:rsidRPr="00310FAB">
        <w:rPr>
          <w:rFonts w:ascii="Roboto" w:eastAsia="Times New Roman" w:hAnsi="Roboto"/>
          <w:sz w:val="22"/>
          <w:szCs w:val="22"/>
        </w:rPr>
        <w:t>sera ensuite actualisé au taux de placement correspondant retenu. Si la somme des montants actualisés ainsi obtenus est négative, aucune indemnité ne sera due à l’Etat.</w:t>
      </w:r>
    </w:p>
    <w:p w14:paraId="54E58565" w14:textId="77777777" w:rsidR="00347DC2" w:rsidRPr="00310FAB" w:rsidRDefault="00347DC2" w:rsidP="004B574F">
      <w:pPr>
        <w:spacing w:line="276" w:lineRule="auto"/>
        <w:ind w:left="284" w:hanging="284"/>
        <w:jc w:val="both"/>
        <w:rPr>
          <w:rFonts w:ascii="Roboto" w:eastAsia="Times New Roman" w:hAnsi="Roboto"/>
          <w:sz w:val="22"/>
          <w:szCs w:val="22"/>
        </w:rPr>
      </w:pPr>
    </w:p>
    <w:p w14:paraId="043B5328" w14:textId="0CB69580" w:rsidR="00347DC2" w:rsidRPr="00310FAB" w:rsidRDefault="00347DC2" w:rsidP="004B574F">
      <w:pPr>
        <w:spacing w:line="276" w:lineRule="auto"/>
        <w:ind w:left="284" w:right="100"/>
        <w:jc w:val="both"/>
        <w:rPr>
          <w:rFonts w:ascii="Roboto" w:eastAsia="Times New Roman" w:hAnsi="Roboto"/>
          <w:sz w:val="22"/>
          <w:szCs w:val="22"/>
        </w:rPr>
      </w:pPr>
      <w:r w:rsidRPr="00310FAB">
        <w:rPr>
          <w:rFonts w:ascii="Roboto" w:eastAsia="Times New Roman" w:hAnsi="Roboto"/>
          <w:sz w:val="22"/>
          <w:szCs w:val="22"/>
        </w:rPr>
        <w:t xml:space="preserve">Les taux de placement constatés sur les marchés financiers deux jours ouvrables avant la date du remboursement anticipé seront égaux: aux taux de swaps de taux d’intérêt contre l’EURIBOR 6 mois publiés sur Reuter (page ISDAFIX2) ou sur </w:t>
      </w:r>
      <w:proofErr w:type="spellStart"/>
      <w:r w:rsidRPr="00310FAB">
        <w:rPr>
          <w:rFonts w:ascii="Roboto" w:eastAsia="Times New Roman" w:hAnsi="Roboto"/>
          <w:sz w:val="22"/>
          <w:szCs w:val="22"/>
        </w:rPr>
        <w:t>Telerate</w:t>
      </w:r>
      <w:proofErr w:type="spellEnd"/>
      <w:r w:rsidRPr="00310FAB">
        <w:rPr>
          <w:rFonts w:ascii="Roboto" w:eastAsia="Times New Roman" w:hAnsi="Roboto"/>
          <w:sz w:val="22"/>
          <w:szCs w:val="22"/>
        </w:rPr>
        <w:t xml:space="preserve"> (page 42281) à 11 heures</w:t>
      </w:r>
    </w:p>
    <w:p w14:paraId="72F1D0C3" w14:textId="77777777" w:rsidR="00347DC2" w:rsidRPr="00310FAB" w:rsidRDefault="00347DC2" w:rsidP="004B574F">
      <w:pPr>
        <w:spacing w:line="276" w:lineRule="auto"/>
        <w:ind w:left="284" w:hanging="284"/>
        <w:jc w:val="both"/>
        <w:rPr>
          <w:rFonts w:ascii="Roboto" w:eastAsia="Times New Roman" w:hAnsi="Roboto"/>
          <w:sz w:val="22"/>
          <w:szCs w:val="22"/>
        </w:rPr>
      </w:pPr>
    </w:p>
    <w:p w14:paraId="41E2C1A0" w14:textId="77777777" w:rsidR="00347DC2" w:rsidRPr="00310FAB" w:rsidRDefault="00347DC2" w:rsidP="004B574F">
      <w:pPr>
        <w:spacing w:line="276" w:lineRule="auto"/>
        <w:ind w:left="284"/>
        <w:jc w:val="both"/>
        <w:rPr>
          <w:rFonts w:ascii="Roboto" w:eastAsia="Times New Roman" w:hAnsi="Roboto"/>
          <w:sz w:val="22"/>
          <w:szCs w:val="22"/>
        </w:rPr>
      </w:pPr>
      <w:r w:rsidRPr="00310FAB">
        <w:rPr>
          <w:rFonts w:ascii="Roboto" w:eastAsia="Times New Roman" w:hAnsi="Roboto"/>
          <w:sz w:val="22"/>
          <w:szCs w:val="22"/>
        </w:rPr>
        <w:lastRenderedPageBreak/>
        <w:t>Ces documents seront fournis au Secrétariat de Finexpo par le prêteur.</w:t>
      </w:r>
    </w:p>
    <w:p w14:paraId="332AE979" w14:textId="77777777" w:rsidR="00347DC2" w:rsidRPr="00310FAB" w:rsidRDefault="00347DC2" w:rsidP="00DF21CE">
      <w:pPr>
        <w:spacing w:line="276" w:lineRule="auto"/>
        <w:jc w:val="both"/>
        <w:rPr>
          <w:rFonts w:ascii="Roboto" w:eastAsia="Times New Roman" w:hAnsi="Roboto"/>
          <w:sz w:val="22"/>
          <w:szCs w:val="22"/>
        </w:rPr>
      </w:pPr>
    </w:p>
    <w:p w14:paraId="104B9257" w14:textId="77777777" w:rsidR="00347DC2" w:rsidRPr="00310FAB" w:rsidRDefault="00347DC2" w:rsidP="007C40EF">
      <w:pPr>
        <w:spacing w:line="276" w:lineRule="auto"/>
        <w:ind w:left="284"/>
        <w:jc w:val="both"/>
        <w:rPr>
          <w:rFonts w:ascii="Roboto" w:eastAsia="Times New Roman" w:hAnsi="Roboto"/>
          <w:sz w:val="22"/>
          <w:szCs w:val="22"/>
        </w:rPr>
      </w:pPr>
      <w:r w:rsidRPr="00310FAB">
        <w:rPr>
          <w:rFonts w:ascii="Roboto" w:eastAsia="Times New Roman" w:hAnsi="Roboto"/>
          <w:sz w:val="22"/>
          <w:szCs w:val="22"/>
        </w:rPr>
        <w:t>Le prêteur entamera avec diligence les mesures raisonnables pour récupérer l'indemnité de remboursement anticipé auprès de l’emprunteur sans obligation de résultat. Les frais éventuels encourus par le prêteur pourront être déduits de l'indemnité récupérée.</w:t>
      </w:r>
    </w:p>
    <w:p w14:paraId="3E39BCBE" w14:textId="77777777" w:rsidR="00347DC2" w:rsidRPr="00310FAB" w:rsidRDefault="00347DC2" w:rsidP="00165A22">
      <w:pPr>
        <w:spacing w:line="276" w:lineRule="auto"/>
        <w:jc w:val="both"/>
        <w:rPr>
          <w:rFonts w:ascii="Roboto" w:eastAsia="Times New Roman" w:hAnsi="Roboto"/>
          <w:sz w:val="22"/>
          <w:szCs w:val="22"/>
        </w:rPr>
      </w:pPr>
    </w:p>
    <w:p w14:paraId="480A9426" w14:textId="088B2F4A" w:rsidR="00347DC2" w:rsidRPr="00165A22" w:rsidRDefault="00347DC2" w:rsidP="00165A22">
      <w:pPr>
        <w:spacing w:line="276" w:lineRule="auto"/>
        <w:jc w:val="both"/>
        <w:rPr>
          <w:rFonts w:ascii="Roboto" w:eastAsia="Times New Roman" w:hAnsi="Roboto"/>
          <w:sz w:val="22"/>
          <w:szCs w:val="22"/>
          <w:u w:val="single"/>
        </w:rPr>
      </w:pPr>
      <w:r w:rsidRPr="00165A22">
        <w:rPr>
          <w:rFonts w:ascii="Roboto" w:eastAsia="Times New Roman" w:hAnsi="Roboto"/>
          <w:sz w:val="22"/>
          <w:szCs w:val="22"/>
          <w:u w:val="single"/>
        </w:rPr>
        <w:t>Dispositions spéciales</w:t>
      </w:r>
      <w:r w:rsidR="00165A22">
        <w:rPr>
          <w:rFonts w:ascii="Roboto" w:eastAsia="Times New Roman" w:hAnsi="Roboto"/>
          <w:sz w:val="22"/>
          <w:szCs w:val="22"/>
          <w:u w:val="single"/>
        </w:rPr>
        <w:t xml:space="preserve"> </w:t>
      </w:r>
      <w:r w:rsidRPr="00165A22">
        <w:rPr>
          <w:rFonts w:ascii="Roboto" w:eastAsia="Times New Roman" w:hAnsi="Roboto"/>
          <w:sz w:val="22"/>
          <w:szCs w:val="22"/>
          <w:u w:val="single"/>
        </w:rPr>
        <w:t>:</w:t>
      </w:r>
    </w:p>
    <w:p w14:paraId="58E24873" w14:textId="77777777" w:rsidR="00347DC2" w:rsidRPr="00310FAB" w:rsidRDefault="00347DC2" w:rsidP="004B574F">
      <w:pPr>
        <w:spacing w:line="276" w:lineRule="auto"/>
        <w:ind w:left="1276"/>
        <w:jc w:val="both"/>
        <w:rPr>
          <w:rFonts w:ascii="Roboto" w:eastAsia="Times New Roman" w:hAnsi="Roboto"/>
          <w:sz w:val="22"/>
          <w:szCs w:val="22"/>
        </w:rPr>
      </w:pPr>
    </w:p>
    <w:p w14:paraId="7C024B06" w14:textId="77777777" w:rsidR="00347DC2" w:rsidRPr="00310FAB" w:rsidRDefault="00347DC2" w:rsidP="004B574F">
      <w:pPr>
        <w:numPr>
          <w:ilvl w:val="0"/>
          <w:numId w:val="10"/>
        </w:numPr>
        <w:tabs>
          <w:tab w:val="left" w:pos="1280"/>
        </w:tabs>
        <w:spacing w:line="276" w:lineRule="auto"/>
        <w:ind w:left="1276" w:right="800"/>
        <w:jc w:val="both"/>
        <w:rPr>
          <w:rFonts w:ascii="Roboto" w:eastAsia="Times New Roman" w:hAnsi="Roboto"/>
          <w:sz w:val="22"/>
          <w:szCs w:val="22"/>
        </w:rPr>
      </w:pPr>
      <w:r w:rsidRPr="00310FAB">
        <w:rPr>
          <w:rFonts w:ascii="Roboto" w:eastAsia="Times New Roman" w:hAnsi="Roboto"/>
          <w:sz w:val="22"/>
          <w:szCs w:val="22"/>
        </w:rPr>
        <w:t>Il n’y a pas d’indemnité de remboursement anticipé</w:t>
      </w:r>
      <w:r w:rsidR="00AD690A" w:rsidRPr="00310FAB">
        <w:rPr>
          <w:rFonts w:ascii="Roboto" w:eastAsia="Times New Roman" w:hAnsi="Roboto"/>
          <w:sz w:val="22"/>
          <w:szCs w:val="22"/>
        </w:rPr>
        <w:t xml:space="preserve"> </w:t>
      </w:r>
      <w:r w:rsidRPr="00310FAB">
        <w:rPr>
          <w:rFonts w:ascii="Roboto" w:eastAsia="Times New Roman" w:hAnsi="Roboto"/>
          <w:sz w:val="22"/>
          <w:szCs w:val="22"/>
        </w:rPr>
        <w:t xml:space="preserve">si l’accélération de paiement est réclamée par </w:t>
      </w:r>
      <w:r w:rsidR="00C77909" w:rsidRPr="00310FAB">
        <w:rPr>
          <w:rFonts w:ascii="Roboto" w:eastAsia="Times New Roman" w:hAnsi="Roboto"/>
          <w:sz w:val="22"/>
          <w:szCs w:val="22"/>
        </w:rPr>
        <w:t>Credendo</w:t>
      </w:r>
      <w:r w:rsidRPr="00310FAB">
        <w:rPr>
          <w:rFonts w:ascii="Roboto" w:eastAsia="Times New Roman" w:hAnsi="Roboto"/>
          <w:sz w:val="22"/>
          <w:szCs w:val="22"/>
        </w:rPr>
        <w:t>.</w:t>
      </w:r>
    </w:p>
    <w:p w14:paraId="7F0530EB" w14:textId="77777777" w:rsidR="00347DC2" w:rsidRPr="00310FAB" w:rsidRDefault="00347DC2" w:rsidP="004B574F">
      <w:pPr>
        <w:spacing w:line="276" w:lineRule="auto"/>
        <w:ind w:left="1276"/>
        <w:jc w:val="both"/>
        <w:rPr>
          <w:rFonts w:ascii="Roboto" w:eastAsia="Times New Roman" w:hAnsi="Roboto"/>
          <w:sz w:val="22"/>
          <w:szCs w:val="22"/>
        </w:rPr>
      </w:pPr>
    </w:p>
    <w:p w14:paraId="01F4D3EE" w14:textId="24A1B903" w:rsidR="00347DC2" w:rsidRPr="00646B43" w:rsidRDefault="00347DC2" w:rsidP="004B574F">
      <w:pPr>
        <w:numPr>
          <w:ilvl w:val="0"/>
          <w:numId w:val="10"/>
        </w:numPr>
        <w:tabs>
          <w:tab w:val="left" w:pos="1280"/>
        </w:tabs>
        <w:spacing w:line="276" w:lineRule="auto"/>
        <w:ind w:left="1276"/>
        <w:jc w:val="both"/>
        <w:rPr>
          <w:rFonts w:ascii="Roboto" w:eastAsia="Times New Roman" w:hAnsi="Roboto"/>
          <w:sz w:val="22"/>
          <w:szCs w:val="22"/>
        </w:rPr>
      </w:pPr>
      <w:r w:rsidRPr="00310FAB">
        <w:rPr>
          <w:rFonts w:ascii="Roboto" w:eastAsia="Times New Roman" w:hAnsi="Roboto"/>
          <w:sz w:val="22"/>
          <w:szCs w:val="22"/>
        </w:rPr>
        <w:t>Tous les autres cas de remboursement anticipé non couverts par cette clause</w:t>
      </w:r>
      <w:r w:rsidR="00646B43">
        <w:rPr>
          <w:rFonts w:ascii="Roboto" w:eastAsia="Times New Roman" w:hAnsi="Roboto"/>
          <w:sz w:val="22"/>
          <w:szCs w:val="22"/>
        </w:rPr>
        <w:t xml:space="preserve"> s</w:t>
      </w:r>
      <w:r w:rsidRPr="00646B43">
        <w:rPr>
          <w:rFonts w:ascii="Roboto" w:eastAsia="Times New Roman" w:hAnsi="Roboto"/>
          <w:sz w:val="22"/>
          <w:szCs w:val="22"/>
        </w:rPr>
        <w:t>eront</w:t>
      </w:r>
      <w:r w:rsidR="00C77909" w:rsidRPr="00646B43">
        <w:rPr>
          <w:rFonts w:ascii="Roboto" w:eastAsia="Times New Roman" w:hAnsi="Roboto"/>
          <w:sz w:val="22"/>
          <w:szCs w:val="22"/>
        </w:rPr>
        <w:t xml:space="preserve"> </w:t>
      </w:r>
      <w:r w:rsidRPr="00646B43">
        <w:rPr>
          <w:rFonts w:ascii="Roboto" w:eastAsia="Times New Roman" w:hAnsi="Roboto"/>
          <w:sz w:val="22"/>
          <w:szCs w:val="22"/>
        </w:rPr>
        <w:t>examinés</w:t>
      </w:r>
      <w:r w:rsidR="00C77909" w:rsidRPr="00646B43">
        <w:rPr>
          <w:rFonts w:ascii="Roboto" w:eastAsia="Times New Roman" w:hAnsi="Roboto"/>
          <w:sz w:val="22"/>
          <w:szCs w:val="22"/>
        </w:rPr>
        <w:t xml:space="preserve"> </w:t>
      </w:r>
      <w:r w:rsidRPr="00646B43">
        <w:rPr>
          <w:rFonts w:ascii="Roboto" w:eastAsia="Times New Roman" w:hAnsi="Roboto"/>
          <w:sz w:val="22"/>
          <w:szCs w:val="22"/>
        </w:rPr>
        <w:t>par</w:t>
      </w:r>
      <w:r w:rsidR="00C77909" w:rsidRPr="00646B43">
        <w:rPr>
          <w:rFonts w:ascii="Roboto" w:eastAsia="Times New Roman" w:hAnsi="Roboto"/>
          <w:sz w:val="22"/>
          <w:szCs w:val="22"/>
        </w:rPr>
        <w:t xml:space="preserve"> </w:t>
      </w:r>
      <w:r w:rsidRPr="00646B43">
        <w:rPr>
          <w:rFonts w:ascii="Roboto" w:eastAsia="Times New Roman" w:hAnsi="Roboto"/>
          <w:sz w:val="22"/>
          <w:szCs w:val="22"/>
        </w:rPr>
        <w:t>Finexpo</w:t>
      </w:r>
      <w:r w:rsidR="00646B43">
        <w:rPr>
          <w:rFonts w:ascii="Roboto" w:eastAsia="Times New Roman" w:hAnsi="Roboto"/>
          <w:sz w:val="22"/>
          <w:szCs w:val="22"/>
        </w:rPr>
        <w:t xml:space="preserve"> </w:t>
      </w:r>
      <w:r w:rsidRPr="00646B43">
        <w:rPr>
          <w:rFonts w:ascii="Roboto" w:eastAsia="Times New Roman" w:hAnsi="Roboto"/>
          <w:sz w:val="22"/>
          <w:szCs w:val="22"/>
        </w:rPr>
        <w:t>au</w:t>
      </w:r>
      <w:r w:rsidR="00C77909" w:rsidRPr="00646B43">
        <w:rPr>
          <w:rFonts w:ascii="Roboto" w:eastAsia="Times New Roman" w:hAnsi="Roboto"/>
          <w:sz w:val="22"/>
          <w:szCs w:val="22"/>
        </w:rPr>
        <w:t xml:space="preserve"> </w:t>
      </w:r>
      <w:r w:rsidRPr="00646B43">
        <w:rPr>
          <w:rFonts w:ascii="Roboto" w:eastAsia="Times New Roman" w:hAnsi="Roboto"/>
          <w:sz w:val="22"/>
          <w:szCs w:val="22"/>
        </w:rPr>
        <w:t>cas</w:t>
      </w:r>
      <w:r w:rsidR="00C77909" w:rsidRPr="00646B43">
        <w:rPr>
          <w:rFonts w:ascii="Roboto" w:eastAsia="Times New Roman" w:hAnsi="Roboto"/>
          <w:sz w:val="22"/>
          <w:szCs w:val="22"/>
        </w:rPr>
        <w:t xml:space="preserve"> </w:t>
      </w:r>
      <w:r w:rsidRPr="00646B43">
        <w:rPr>
          <w:rFonts w:ascii="Roboto" w:eastAsia="Times New Roman" w:hAnsi="Roboto"/>
          <w:sz w:val="22"/>
          <w:szCs w:val="22"/>
        </w:rPr>
        <w:t>par</w:t>
      </w:r>
      <w:r w:rsidR="00C77909" w:rsidRPr="00646B43">
        <w:rPr>
          <w:rFonts w:ascii="Roboto" w:eastAsia="Times New Roman" w:hAnsi="Roboto"/>
          <w:sz w:val="22"/>
          <w:szCs w:val="22"/>
        </w:rPr>
        <w:t xml:space="preserve"> </w:t>
      </w:r>
      <w:r w:rsidRPr="00646B43">
        <w:rPr>
          <w:rFonts w:ascii="Roboto" w:eastAsia="Times New Roman" w:hAnsi="Roboto"/>
          <w:sz w:val="22"/>
          <w:szCs w:val="22"/>
        </w:rPr>
        <w:t>cas.</w:t>
      </w:r>
    </w:p>
    <w:p w14:paraId="28730F81" w14:textId="77777777" w:rsidR="00347DC2" w:rsidRPr="00310FAB" w:rsidRDefault="00347DC2" w:rsidP="004B574F">
      <w:pPr>
        <w:spacing w:line="276" w:lineRule="auto"/>
        <w:ind w:left="1276"/>
        <w:jc w:val="both"/>
        <w:rPr>
          <w:rFonts w:ascii="Roboto" w:eastAsia="Times New Roman" w:hAnsi="Roboto"/>
          <w:sz w:val="22"/>
          <w:szCs w:val="22"/>
        </w:rPr>
      </w:pPr>
    </w:p>
    <w:p w14:paraId="61268AA0" w14:textId="1691E515" w:rsidR="00DF21CE" w:rsidRDefault="00347DC2" w:rsidP="004B574F">
      <w:pPr>
        <w:numPr>
          <w:ilvl w:val="0"/>
          <w:numId w:val="10"/>
        </w:numPr>
        <w:tabs>
          <w:tab w:val="left" w:pos="1280"/>
        </w:tabs>
        <w:spacing w:line="276" w:lineRule="auto"/>
        <w:ind w:left="1276" w:right="180"/>
        <w:jc w:val="both"/>
        <w:rPr>
          <w:rFonts w:ascii="Roboto" w:eastAsia="Times New Roman" w:hAnsi="Roboto"/>
          <w:sz w:val="22"/>
          <w:szCs w:val="22"/>
        </w:rPr>
      </w:pPr>
      <w:r w:rsidRPr="00310FAB">
        <w:rPr>
          <w:rFonts w:ascii="Roboto" w:eastAsia="Times New Roman" w:hAnsi="Roboto"/>
          <w:sz w:val="22"/>
          <w:szCs w:val="22"/>
        </w:rPr>
        <w:t>Pour des montants de crédit inférieur à un million</w:t>
      </w:r>
      <w:r w:rsidR="00C77909" w:rsidRPr="00310FAB">
        <w:rPr>
          <w:rFonts w:ascii="Roboto" w:eastAsia="Times New Roman" w:hAnsi="Roboto"/>
          <w:sz w:val="22"/>
          <w:szCs w:val="22"/>
        </w:rPr>
        <w:t xml:space="preserve"> </w:t>
      </w:r>
      <w:r w:rsidRPr="00310FAB">
        <w:rPr>
          <w:rFonts w:ascii="Roboto" w:eastAsia="Times New Roman" w:hAnsi="Roboto"/>
          <w:sz w:val="22"/>
          <w:szCs w:val="22"/>
        </w:rPr>
        <w:t>d’euros, l’indemnité de remboursement anticipé peut être, si le prêteur/exportateur le souhaite, calculée forfaitairement en appliquant un pourcentage de 0,25% flat sur le montant du remboursement anticipé.</w:t>
      </w:r>
    </w:p>
    <w:p w14:paraId="1D112FD5" w14:textId="08C86FE9" w:rsidR="00DF21CE" w:rsidRPr="00DF21CE" w:rsidRDefault="00DF21CE" w:rsidP="00DF21CE">
      <w:pPr>
        <w:tabs>
          <w:tab w:val="left" w:pos="1280"/>
        </w:tabs>
        <w:spacing w:line="276" w:lineRule="auto"/>
        <w:ind w:right="180"/>
        <w:rPr>
          <w:rFonts w:ascii="Roboto" w:eastAsia="Times New Roman" w:hAnsi="Roboto"/>
          <w:sz w:val="22"/>
          <w:szCs w:val="22"/>
        </w:rPr>
        <w:sectPr w:rsidR="00DF21CE" w:rsidRPr="00DF21CE" w:rsidSect="00A968B2">
          <w:headerReference w:type="even" r:id="rId13"/>
          <w:headerReference w:type="default" r:id="rId14"/>
          <w:footerReference w:type="even" r:id="rId15"/>
          <w:footerReference w:type="default" r:id="rId16"/>
          <w:headerReference w:type="first" r:id="rId17"/>
          <w:footerReference w:type="first" r:id="rId18"/>
          <w:pgSz w:w="11907" w:h="16840" w:code="9"/>
          <w:pgMar w:top="567" w:right="567" w:bottom="1718" w:left="539" w:header="289" w:footer="408" w:gutter="0"/>
          <w:cols w:space="708"/>
          <w:docGrid w:linePitch="360"/>
        </w:sectPr>
      </w:pPr>
    </w:p>
    <w:p w14:paraId="35BFB510" w14:textId="760E07EE" w:rsidR="00347DC2" w:rsidRPr="00310FAB" w:rsidRDefault="00347DC2" w:rsidP="00DF21CE">
      <w:pPr>
        <w:tabs>
          <w:tab w:val="left" w:pos="1280"/>
        </w:tabs>
        <w:spacing w:line="276" w:lineRule="auto"/>
        <w:ind w:right="180"/>
        <w:rPr>
          <w:rFonts w:ascii="Roboto" w:eastAsia="Times New Roman" w:hAnsi="Roboto"/>
          <w:sz w:val="22"/>
          <w:szCs w:val="22"/>
        </w:rPr>
      </w:pPr>
    </w:p>
    <w:sectPr w:rsidR="00347DC2" w:rsidRPr="00310FAB">
      <w:headerReference w:type="even" r:id="rId19"/>
      <w:headerReference w:type="default" r:id="rId20"/>
      <w:headerReference w:type="first" r:id="rId21"/>
      <w:pgSz w:w="11900" w:h="16840"/>
      <w:pgMar w:top="712" w:right="500" w:bottom="1440" w:left="1440" w:header="0" w:footer="0" w:gutter="0"/>
      <w:cols w:space="0" w:equalWidth="0">
        <w:col w:w="9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9FBF" w14:textId="77777777" w:rsidR="000616B1" w:rsidRDefault="000616B1" w:rsidP="00F33B99">
      <w:r>
        <w:separator/>
      </w:r>
    </w:p>
  </w:endnote>
  <w:endnote w:type="continuationSeparator" w:id="0">
    <w:p w14:paraId="37086046" w14:textId="77777777" w:rsidR="000616B1" w:rsidRDefault="000616B1" w:rsidP="00F3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Lora">
    <w:panose1 w:val="00000000000000000000"/>
    <w:charset w:val="00"/>
    <w:family w:val="auto"/>
    <w:pitch w:val="variable"/>
    <w:sig w:usb0="A00002FF" w:usb1="5000204B" w:usb2="00000000" w:usb3="00000000" w:csb0="00000097"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FA5" w14:textId="77777777" w:rsidR="00DF21CE" w:rsidRDefault="00DF21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323"/>
      <w:gridCol w:w="637"/>
    </w:tblGrid>
    <w:tr w:rsidR="00DF21CE" w:rsidRPr="00F45AD1" w14:paraId="7113E73F" w14:textId="77777777">
      <w:trPr>
        <w:trHeight w:val="630"/>
        <w:jc w:val="right"/>
      </w:trPr>
      <w:tc>
        <w:tcPr>
          <w:tcW w:w="9720" w:type="dxa"/>
          <w:vAlign w:val="bottom"/>
        </w:tcPr>
        <w:p w14:paraId="13567F84" w14:textId="77777777" w:rsidR="00DF21CE" w:rsidRPr="00F45AD1" w:rsidRDefault="00DF21CE" w:rsidP="00F45AD1">
          <w:pPr>
            <w:pStyle w:val="Pieddepage"/>
          </w:pPr>
          <w:r>
            <w:t>Version Mars 2023</w:t>
          </w:r>
        </w:p>
      </w:tc>
      <w:tc>
        <w:tcPr>
          <w:tcW w:w="648" w:type="dxa"/>
          <w:vAlign w:val="bottom"/>
        </w:tcPr>
        <w:p w14:paraId="7866B308" w14:textId="77777777" w:rsidR="00DF21CE" w:rsidRPr="00F45AD1" w:rsidRDefault="00DF21CE" w:rsidP="00F45AD1">
          <w:pPr>
            <w:pStyle w:val="Pieddepage"/>
          </w:pPr>
        </w:p>
        <w:p w14:paraId="16EF3012" w14:textId="3C5DD67F" w:rsidR="00DF21CE" w:rsidRPr="00F45AD1" w:rsidRDefault="002C15DA" w:rsidP="00F45AD1">
          <w:pPr>
            <w:pStyle w:val="Pieddepage"/>
          </w:pPr>
          <w:r w:rsidRPr="00051B53">
            <w:rPr>
              <w:noProof/>
            </w:rPr>
            <w:pict w14:anchorId="4787B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33" type="#_x0000_t75" alt="BE-kleur" style="width:19.65pt;height:14.95pt;visibility:visible;mso-wrap-style:square">
                <v:imagedata r:id="rId1" o:title="BE-kleur"/>
              </v:shape>
            </w:pict>
          </w:r>
        </w:p>
      </w:tc>
    </w:tr>
  </w:tbl>
  <w:p w14:paraId="239B4B62" w14:textId="7EFFA6C1" w:rsidR="00DF21CE" w:rsidRPr="00F45AD1" w:rsidRDefault="002C15DA" w:rsidP="00F45AD1">
    <w:pPr>
      <w:pStyle w:val="Pieddepage"/>
    </w:pPr>
    <w:r>
      <w:rPr>
        <w:noProof/>
      </w:rPr>
      <w:pict w14:anchorId="7CB9CD23">
        <v:shape id="Picture 29" o:spid="_x0000_s1032" type="#_x0000_t75" style="position:absolute;margin-left:0;margin-top:2.85pt;width:595.3pt;height:27.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17A7ACDF" w14:textId="77777777" w:rsidR="00DF21CE" w:rsidRPr="00F45AD1" w:rsidRDefault="00DF21CE" w:rsidP="00F45AD1">
    <w:pPr>
      <w:pStyle w:val="Pieddepage"/>
    </w:pPr>
  </w:p>
  <w:p w14:paraId="169F9851" w14:textId="77777777" w:rsidR="00DF21CE" w:rsidRPr="00F45AD1" w:rsidRDefault="00DF21CE" w:rsidP="00F45A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540C" w14:textId="77777777" w:rsidR="00DF21CE" w:rsidRDefault="00DF21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06E6" w14:textId="77777777" w:rsidR="000616B1" w:rsidRDefault="000616B1" w:rsidP="00F33B99">
      <w:r>
        <w:separator/>
      </w:r>
    </w:p>
  </w:footnote>
  <w:footnote w:type="continuationSeparator" w:id="0">
    <w:p w14:paraId="683F8218" w14:textId="77777777" w:rsidR="000616B1" w:rsidRDefault="000616B1" w:rsidP="00F3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3C9C" w14:textId="5D81A0C2" w:rsidR="00DF21CE" w:rsidRDefault="002C15DA">
    <w:pPr>
      <w:pStyle w:val="En-tte"/>
    </w:pPr>
    <w:r>
      <w:rPr>
        <w:noProof/>
      </w:rPr>
      <w:pict w14:anchorId="7756F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alt="watermerk10%" style="position:absolute;margin-left:0;margin-top:0;width:539.8pt;height:575.75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10F67D5C">
        <v:shape id="Picture 26" o:spid="_x0000_s1034" type="#_x0000_t75" alt="watermerk10%" style="position:absolute;margin-left:0;margin-top:0;width:539.8pt;height:575.7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0784969C">
        <v:shape id="Picture 27" o:spid="_x0000_s1033" type="#_x0000_t75" alt="watermerk7%" style="position:absolute;margin-left:0;margin-top:0;width:507.2pt;height:541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sidR="00DF21CE">
      <w:rPr>
        <w:noProof/>
      </w:rPr>
      <w:pict w14:anchorId="53ABE7D3">
        <v:shape id="_x0000_s1028" type="#_x0000_t75" style="position:absolute;margin-left:0;margin-top:0;width:493.7pt;height:526.55pt;z-index:-251654656;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22C3" w14:textId="77777777" w:rsidR="00DF21CE" w:rsidRDefault="00DF21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2331" w14:textId="6764285C" w:rsidR="00DF21CE" w:rsidRDefault="002C15DA">
    <w:pPr>
      <w:pStyle w:val="En-tte"/>
    </w:pPr>
    <w:r>
      <w:rPr>
        <w:noProof/>
      </w:rPr>
      <w:pict w14:anchorId="1DE14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1" type="#_x0000_t75" alt="watermerk10%" style="position:absolute;margin-left:0;margin-top:0;width:539.8pt;height:575.7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CFCAA36">
        <v:shape id="Picture 31" o:spid="_x0000_s1030" type="#_x0000_t75" alt="watermerk10%" style="position:absolute;margin-left:0;margin-top:0;width:539.8pt;height:575.7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53DF0D89">
        <v:shape id="Picture 32" o:spid="_x0000_s1029" type="#_x0000_t75" alt="watermerk7%" style="position:absolute;margin-left:0;margin-top:0;width:507.2pt;height:541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sidR="00DF21CE">
      <w:rPr>
        <w:noProof/>
      </w:rPr>
      <w:pict w14:anchorId="04E96B83">
        <v:shape id="_x0000_s1027" type="#_x0000_t75" style="position:absolute;margin-left:0;margin-top:0;width:493.7pt;height:526.55pt;z-index:-251655680;mso-position-horizontal:center;mso-position-horizontal-relative:margin;mso-position-vertical:center;mso-position-vertical-relative:margin" o:allowincell="f">
          <v:imagedata r:id="rId3" o:title="BUZA-EXT-WATERMERK-1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BB12" w14:textId="77777777" w:rsidR="00F33B99" w:rsidRPr="00310FAB" w:rsidRDefault="00F33B99" w:rsidP="00F33B99">
    <w:pPr>
      <w:pStyle w:val="En-tte"/>
      <w:jc w:val="center"/>
      <w:rPr>
        <w:rFonts w:ascii="Arial Unicode MS" w:eastAsia="Arial Unicode MS" w:hAnsi="Arial Unicode MS" w:cs="Arial Unicode MS"/>
        <w:color w:val="000000"/>
        <w:sz w:val="17"/>
        <w:lang w:val="de-DE"/>
      </w:rPr>
    </w:pPr>
    <w:bookmarkStart w:id="2" w:name="aliashStandardlabeling1r1HeaderEvenPages"/>
    <w:r w:rsidRPr="00310FAB">
      <w:rPr>
        <w:rFonts w:ascii="Arial Unicode MS" w:eastAsia="Arial Unicode MS" w:hAnsi="Arial Unicode MS" w:cs="Arial Unicode MS"/>
        <w:color w:val="000000"/>
        <w:sz w:val="17"/>
        <w:lang w:val="de-DE"/>
      </w:rPr>
      <w:t>USAGE INTERNE - N5 - INTERN GEBRUIK</w:t>
    </w:r>
  </w:p>
  <w:bookmarkEnd w:id="2"/>
  <w:p w14:paraId="66A899B9" w14:textId="77777777" w:rsidR="00F33B99" w:rsidRPr="00310FAB" w:rsidRDefault="00F33B99">
    <w:pPr>
      <w:pStyle w:val="En-tte"/>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8EC1" w14:textId="6BE532A1" w:rsidR="00F33B99" w:rsidRPr="004E0139" w:rsidRDefault="00F33B99" w:rsidP="004E0139">
    <w:pPr>
      <w:pStyle w:val="En-tte"/>
      <w:jc w:val="cent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6C4" w14:textId="77777777" w:rsidR="00F33B99" w:rsidRDefault="00F33B99" w:rsidP="00F33B99">
    <w:pPr>
      <w:pStyle w:val="En-tte"/>
      <w:jc w:val="center"/>
      <w:rPr>
        <w:rFonts w:ascii="Arial Unicode MS" w:eastAsia="Arial Unicode MS" w:hAnsi="Arial Unicode MS" w:cs="Arial Unicode MS"/>
        <w:color w:val="000000"/>
        <w:sz w:val="17"/>
      </w:rPr>
    </w:pPr>
    <w:bookmarkStart w:id="3" w:name="aliashStandardlabeling1r1HeaderFirstPage"/>
    <w:r w:rsidRPr="00F33B99">
      <w:rPr>
        <w:rFonts w:ascii="Arial Unicode MS" w:eastAsia="Arial Unicode MS" w:hAnsi="Arial Unicode MS" w:cs="Arial Unicode MS"/>
        <w:color w:val="000000"/>
        <w:sz w:val="17"/>
      </w:rPr>
      <w:t>USAGE INTERNE - N5 - INTERN GEBRUIK</w:t>
    </w:r>
  </w:p>
  <w:bookmarkEnd w:id="3"/>
  <w:p w14:paraId="04B4D6A2" w14:textId="77777777" w:rsidR="00F33B99" w:rsidRDefault="00F33B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E6BC56BC">
      <w:start w:val="1"/>
      <w:numFmt w:val="decimal"/>
      <w:lvlText w:val="%1."/>
      <w:lvlJc w:val="left"/>
    </w:lvl>
    <w:lvl w:ilvl="1" w:tplc="D2E8CDAA">
      <w:start w:val="1"/>
      <w:numFmt w:val="bullet"/>
      <w:lvlText w:val=""/>
      <w:lvlJc w:val="left"/>
    </w:lvl>
    <w:lvl w:ilvl="2" w:tplc="72E09B94">
      <w:start w:val="1"/>
      <w:numFmt w:val="bullet"/>
      <w:lvlText w:val=""/>
      <w:lvlJc w:val="left"/>
    </w:lvl>
    <w:lvl w:ilvl="3" w:tplc="F7A06D8A">
      <w:start w:val="1"/>
      <w:numFmt w:val="bullet"/>
      <w:lvlText w:val=""/>
      <w:lvlJc w:val="left"/>
    </w:lvl>
    <w:lvl w:ilvl="4" w:tplc="B2ACEE44">
      <w:start w:val="1"/>
      <w:numFmt w:val="bullet"/>
      <w:lvlText w:val=""/>
      <w:lvlJc w:val="left"/>
    </w:lvl>
    <w:lvl w:ilvl="5" w:tplc="38466586">
      <w:start w:val="1"/>
      <w:numFmt w:val="bullet"/>
      <w:lvlText w:val=""/>
      <w:lvlJc w:val="left"/>
    </w:lvl>
    <w:lvl w:ilvl="6" w:tplc="66122EC6">
      <w:start w:val="1"/>
      <w:numFmt w:val="bullet"/>
      <w:lvlText w:val=""/>
      <w:lvlJc w:val="left"/>
    </w:lvl>
    <w:lvl w:ilvl="7" w:tplc="E940E624">
      <w:start w:val="1"/>
      <w:numFmt w:val="bullet"/>
      <w:lvlText w:val=""/>
      <w:lvlJc w:val="left"/>
    </w:lvl>
    <w:lvl w:ilvl="8" w:tplc="8424F5FE">
      <w:start w:val="1"/>
      <w:numFmt w:val="bullet"/>
      <w:lvlText w:val=""/>
      <w:lvlJc w:val="left"/>
    </w:lvl>
  </w:abstractNum>
  <w:abstractNum w:abstractNumId="1" w15:restartNumberingAfterBreak="0">
    <w:nsid w:val="00000002"/>
    <w:multiLevelType w:val="hybridMultilevel"/>
    <w:tmpl w:val="2AE8944A"/>
    <w:lvl w:ilvl="0" w:tplc="5BF40AF2">
      <w:start w:val="4"/>
      <w:numFmt w:val="decimal"/>
      <w:lvlText w:val="%1."/>
      <w:lvlJc w:val="left"/>
    </w:lvl>
    <w:lvl w:ilvl="1" w:tplc="41F83544">
      <w:start w:val="1"/>
      <w:numFmt w:val="bullet"/>
      <w:lvlText w:val=""/>
      <w:lvlJc w:val="left"/>
    </w:lvl>
    <w:lvl w:ilvl="2" w:tplc="FB847AA2">
      <w:start w:val="1"/>
      <w:numFmt w:val="bullet"/>
      <w:lvlText w:val=""/>
      <w:lvlJc w:val="left"/>
    </w:lvl>
    <w:lvl w:ilvl="3" w:tplc="2B3ACB82">
      <w:start w:val="1"/>
      <w:numFmt w:val="bullet"/>
      <w:lvlText w:val=""/>
      <w:lvlJc w:val="left"/>
    </w:lvl>
    <w:lvl w:ilvl="4" w:tplc="D5C47C5C">
      <w:start w:val="1"/>
      <w:numFmt w:val="bullet"/>
      <w:lvlText w:val=""/>
      <w:lvlJc w:val="left"/>
    </w:lvl>
    <w:lvl w:ilvl="5" w:tplc="5A1429E2">
      <w:start w:val="1"/>
      <w:numFmt w:val="bullet"/>
      <w:lvlText w:val=""/>
      <w:lvlJc w:val="left"/>
    </w:lvl>
    <w:lvl w:ilvl="6" w:tplc="317CB2D0">
      <w:start w:val="1"/>
      <w:numFmt w:val="bullet"/>
      <w:lvlText w:val=""/>
      <w:lvlJc w:val="left"/>
    </w:lvl>
    <w:lvl w:ilvl="7" w:tplc="672A1AF6">
      <w:start w:val="1"/>
      <w:numFmt w:val="bullet"/>
      <w:lvlText w:val=""/>
      <w:lvlJc w:val="left"/>
    </w:lvl>
    <w:lvl w:ilvl="8" w:tplc="BBBA744E">
      <w:start w:val="1"/>
      <w:numFmt w:val="bullet"/>
      <w:lvlText w:val=""/>
      <w:lvlJc w:val="left"/>
    </w:lvl>
  </w:abstractNum>
  <w:abstractNum w:abstractNumId="2" w15:restartNumberingAfterBreak="0">
    <w:nsid w:val="00000003"/>
    <w:multiLevelType w:val="hybridMultilevel"/>
    <w:tmpl w:val="625558EC"/>
    <w:lvl w:ilvl="0" w:tplc="DA36DD06">
      <w:start w:val="7"/>
      <w:numFmt w:val="decimal"/>
      <w:lvlText w:val="%1"/>
      <w:lvlJc w:val="left"/>
    </w:lvl>
    <w:lvl w:ilvl="1" w:tplc="B6902976">
      <w:start w:val="1"/>
      <w:numFmt w:val="bullet"/>
      <w:lvlText w:val=""/>
      <w:lvlJc w:val="left"/>
    </w:lvl>
    <w:lvl w:ilvl="2" w:tplc="E83CDF3C">
      <w:start w:val="1"/>
      <w:numFmt w:val="bullet"/>
      <w:lvlText w:val=""/>
      <w:lvlJc w:val="left"/>
    </w:lvl>
    <w:lvl w:ilvl="3" w:tplc="A9C433BE">
      <w:start w:val="1"/>
      <w:numFmt w:val="bullet"/>
      <w:lvlText w:val=""/>
      <w:lvlJc w:val="left"/>
    </w:lvl>
    <w:lvl w:ilvl="4" w:tplc="4A389A9C">
      <w:start w:val="1"/>
      <w:numFmt w:val="bullet"/>
      <w:lvlText w:val=""/>
      <w:lvlJc w:val="left"/>
    </w:lvl>
    <w:lvl w:ilvl="5" w:tplc="D9449A7C">
      <w:start w:val="1"/>
      <w:numFmt w:val="bullet"/>
      <w:lvlText w:val=""/>
      <w:lvlJc w:val="left"/>
    </w:lvl>
    <w:lvl w:ilvl="6" w:tplc="F12CC312">
      <w:start w:val="1"/>
      <w:numFmt w:val="bullet"/>
      <w:lvlText w:val=""/>
      <w:lvlJc w:val="left"/>
    </w:lvl>
    <w:lvl w:ilvl="7" w:tplc="3BFA7774">
      <w:start w:val="1"/>
      <w:numFmt w:val="bullet"/>
      <w:lvlText w:val=""/>
      <w:lvlJc w:val="left"/>
    </w:lvl>
    <w:lvl w:ilvl="8" w:tplc="138E8D58">
      <w:start w:val="1"/>
      <w:numFmt w:val="bullet"/>
      <w:lvlText w:val=""/>
      <w:lvlJc w:val="left"/>
    </w:lvl>
  </w:abstractNum>
  <w:abstractNum w:abstractNumId="3" w15:restartNumberingAfterBreak="0">
    <w:nsid w:val="00000004"/>
    <w:multiLevelType w:val="hybridMultilevel"/>
    <w:tmpl w:val="238E1F28"/>
    <w:lvl w:ilvl="0" w:tplc="14820EA0">
      <w:start w:val="1"/>
      <w:numFmt w:val="lowerLetter"/>
      <w:lvlText w:val="%1)"/>
      <w:lvlJc w:val="left"/>
    </w:lvl>
    <w:lvl w:ilvl="1" w:tplc="7D0EF04E">
      <w:start w:val="1"/>
      <w:numFmt w:val="bullet"/>
      <w:lvlText w:val=""/>
      <w:lvlJc w:val="left"/>
    </w:lvl>
    <w:lvl w:ilvl="2" w:tplc="8E84DDDE">
      <w:start w:val="1"/>
      <w:numFmt w:val="bullet"/>
      <w:lvlText w:val=""/>
      <w:lvlJc w:val="left"/>
    </w:lvl>
    <w:lvl w:ilvl="3" w:tplc="2F82E988">
      <w:start w:val="1"/>
      <w:numFmt w:val="bullet"/>
      <w:lvlText w:val=""/>
      <w:lvlJc w:val="left"/>
    </w:lvl>
    <w:lvl w:ilvl="4" w:tplc="9C40DABA">
      <w:start w:val="1"/>
      <w:numFmt w:val="bullet"/>
      <w:lvlText w:val=""/>
      <w:lvlJc w:val="left"/>
    </w:lvl>
    <w:lvl w:ilvl="5" w:tplc="927E51C0">
      <w:start w:val="1"/>
      <w:numFmt w:val="bullet"/>
      <w:lvlText w:val=""/>
      <w:lvlJc w:val="left"/>
    </w:lvl>
    <w:lvl w:ilvl="6" w:tplc="A68CE4A6">
      <w:start w:val="1"/>
      <w:numFmt w:val="bullet"/>
      <w:lvlText w:val=""/>
      <w:lvlJc w:val="left"/>
    </w:lvl>
    <w:lvl w:ilvl="7" w:tplc="71D44288">
      <w:start w:val="1"/>
      <w:numFmt w:val="bullet"/>
      <w:lvlText w:val=""/>
      <w:lvlJc w:val="left"/>
    </w:lvl>
    <w:lvl w:ilvl="8" w:tplc="A64A04BA">
      <w:start w:val="1"/>
      <w:numFmt w:val="bullet"/>
      <w:lvlText w:val=""/>
      <w:lvlJc w:val="left"/>
    </w:lvl>
  </w:abstractNum>
  <w:abstractNum w:abstractNumId="4" w15:restartNumberingAfterBreak="0">
    <w:nsid w:val="00000005"/>
    <w:multiLevelType w:val="hybridMultilevel"/>
    <w:tmpl w:val="46E87CCC"/>
    <w:lvl w:ilvl="0" w:tplc="EBC6C360">
      <w:start w:val="3"/>
      <w:numFmt w:val="lowerLetter"/>
      <w:lvlText w:val="%1)"/>
      <w:lvlJc w:val="left"/>
    </w:lvl>
    <w:lvl w:ilvl="1" w:tplc="DF7ADF56">
      <w:start w:val="1"/>
      <w:numFmt w:val="bullet"/>
      <w:lvlText w:val=""/>
      <w:lvlJc w:val="left"/>
    </w:lvl>
    <w:lvl w:ilvl="2" w:tplc="96B4EA90">
      <w:start w:val="1"/>
      <w:numFmt w:val="bullet"/>
      <w:lvlText w:val=""/>
      <w:lvlJc w:val="left"/>
    </w:lvl>
    <w:lvl w:ilvl="3" w:tplc="4EE06FC4">
      <w:start w:val="1"/>
      <w:numFmt w:val="bullet"/>
      <w:lvlText w:val=""/>
      <w:lvlJc w:val="left"/>
    </w:lvl>
    <w:lvl w:ilvl="4" w:tplc="0E02DA7E">
      <w:start w:val="1"/>
      <w:numFmt w:val="bullet"/>
      <w:lvlText w:val=""/>
      <w:lvlJc w:val="left"/>
    </w:lvl>
    <w:lvl w:ilvl="5" w:tplc="9ED037C8">
      <w:start w:val="1"/>
      <w:numFmt w:val="bullet"/>
      <w:lvlText w:val=""/>
      <w:lvlJc w:val="left"/>
    </w:lvl>
    <w:lvl w:ilvl="6" w:tplc="4BDEE6C2">
      <w:start w:val="1"/>
      <w:numFmt w:val="bullet"/>
      <w:lvlText w:val=""/>
      <w:lvlJc w:val="left"/>
    </w:lvl>
    <w:lvl w:ilvl="7" w:tplc="259404F2">
      <w:start w:val="1"/>
      <w:numFmt w:val="bullet"/>
      <w:lvlText w:val=""/>
      <w:lvlJc w:val="left"/>
    </w:lvl>
    <w:lvl w:ilvl="8" w:tplc="F8E059B6">
      <w:start w:val="1"/>
      <w:numFmt w:val="bullet"/>
      <w:lvlText w:val=""/>
      <w:lvlJc w:val="left"/>
    </w:lvl>
  </w:abstractNum>
  <w:abstractNum w:abstractNumId="5" w15:restartNumberingAfterBreak="0">
    <w:nsid w:val="09BD5A28"/>
    <w:multiLevelType w:val="hybridMultilevel"/>
    <w:tmpl w:val="1A4E6398"/>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CF576D3"/>
    <w:multiLevelType w:val="hybridMultilevel"/>
    <w:tmpl w:val="8864F27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82E6F16"/>
    <w:multiLevelType w:val="hybridMultilevel"/>
    <w:tmpl w:val="8426299C"/>
    <w:lvl w:ilvl="0" w:tplc="100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0F008C"/>
    <w:multiLevelType w:val="hybridMultilevel"/>
    <w:tmpl w:val="54BABDC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F5C4D0F"/>
    <w:multiLevelType w:val="hybridMultilevel"/>
    <w:tmpl w:val="0B50604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73972836">
    <w:abstractNumId w:val="0"/>
  </w:num>
  <w:num w:numId="2" w16cid:durableId="1916670189">
    <w:abstractNumId w:val="1"/>
  </w:num>
  <w:num w:numId="3" w16cid:durableId="433283960">
    <w:abstractNumId w:val="2"/>
  </w:num>
  <w:num w:numId="4" w16cid:durableId="1149008957">
    <w:abstractNumId w:val="3"/>
  </w:num>
  <w:num w:numId="5" w16cid:durableId="2084523236">
    <w:abstractNumId w:val="4"/>
  </w:num>
  <w:num w:numId="6" w16cid:durableId="516307195">
    <w:abstractNumId w:val="6"/>
  </w:num>
  <w:num w:numId="7" w16cid:durableId="1590963916">
    <w:abstractNumId w:val="5"/>
  </w:num>
  <w:num w:numId="8" w16cid:durableId="1927956948">
    <w:abstractNumId w:val="9"/>
  </w:num>
  <w:num w:numId="9" w16cid:durableId="2024160928">
    <w:abstractNumId w:val="7"/>
  </w:num>
  <w:num w:numId="10" w16cid:durableId="787237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B99"/>
    <w:rsid w:val="000616B1"/>
    <w:rsid w:val="000B6EC6"/>
    <w:rsid w:val="00165A22"/>
    <w:rsid w:val="00195110"/>
    <w:rsid w:val="00197A25"/>
    <w:rsid w:val="00280611"/>
    <w:rsid w:val="00291AC8"/>
    <w:rsid w:val="002C15DA"/>
    <w:rsid w:val="00310FAB"/>
    <w:rsid w:val="00347DC2"/>
    <w:rsid w:val="00367D3E"/>
    <w:rsid w:val="00412D6F"/>
    <w:rsid w:val="00437ED2"/>
    <w:rsid w:val="004A79A9"/>
    <w:rsid w:val="004B574F"/>
    <w:rsid w:val="004E0139"/>
    <w:rsid w:val="005D291E"/>
    <w:rsid w:val="00646B43"/>
    <w:rsid w:val="00703E64"/>
    <w:rsid w:val="007C2DC8"/>
    <w:rsid w:val="007C40EF"/>
    <w:rsid w:val="008463E7"/>
    <w:rsid w:val="00981629"/>
    <w:rsid w:val="00A93EA5"/>
    <w:rsid w:val="00AD690A"/>
    <w:rsid w:val="00B944ED"/>
    <w:rsid w:val="00C05229"/>
    <w:rsid w:val="00C66611"/>
    <w:rsid w:val="00C77909"/>
    <w:rsid w:val="00CC3CE9"/>
    <w:rsid w:val="00DF1881"/>
    <w:rsid w:val="00DF21CE"/>
    <w:rsid w:val="00E7678A"/>
    <w:rsid w:val="00F33B99"/>
    <w:rsid w:val="00FA22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1AE6FE"/>
  <w15:chartTrackingRefBased/>
  <w15:docId w15:val="{D9F975B2-3C72-4FF2-860C-4A42D5E6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3B99"/>
    <w:pPr>
      <w:tabs>
        <w:tab w:val="center" w:pos="4513"/>
        <w:tab w:val="right" w:pos="9026"/>
      </w:tabs>
    </w:pPr>
  </w:style>
  <w:style w:type="character" w:customStyle="1" w:styleId="En-tteCar">
    <w:name w:val="En-tête Car"/>
    <w:basedOn w:val="Policepardfaut"/>
    <w:link w:val="En-tte"/>
    <w:uiPriority w:val="99"/>
    <w:rsid w:val="00F33B99"/>
  </w:style>
  <w:style w:type="paragraph" w:styleId="Pieddepage">
    <w:name w:val="footer"/>
    <w:basedOn w:val="Normal"/>
    <w:link w:val="PieddepageCar"/>
    <w:unhideWhenUsed/>
    <w:rsid w:val="00F33B99"/>
    <w:pPr>
      <w:tabs>
        <w:tab w:val="center" w:pos="4513"/>
        <w:tab w:val="right" w:pos="9026"/>
      </w:tabs>
    </w:pPr>
  </w:style>
  <w:style w:type="character" w:customStyle="1" w:styleId="PieddepageCar">
    <w:name w:val="Pied de page Car"/>
    <w:basedOn w:val="Policepardfaut"/>
    <w:link w:val="Pieddepage"/>
    <w:uiPriority w:val="99"/>
    <w:rsid w:val="00F33B99"/>
  </w:style>
  <w:style w:type="table" w:styleId="Grilledutableau">
    <w:name w:val="Table Grid"/>
    <w:basedOn w:val="TableauNormal"/>
    <w:uiPriority w:val="59"/>
    <w:rsid w:val="00DF21CE"/>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DF21CE"/>
    <w:rPr>
      <w:rFonts w:cs="Times New Roman"/>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DF21CE"/>
    <w:rPr>
      <w:rFonts w:ascii="Times New Roman" w:eastAsia="Times New Roman" w:hAnsi="Times New Roman" w:cs="Times New Roman"/>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agraphedeliste">
    <w:name w:val="List Paragraph"/>
    <w:basedOn w:val="Normal"/>
    <w:uiPriority w:val="34"/>
    <w:qFormat/>
    <w:rsid w:val="00165A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eate a new document." ma:contentTypeScope="" ma:versionID="418e5ccb369a42539000367b25f6a21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e5c2c97882b577eca43c6c3769a494ac"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709A-7EAB-49F2-9E25-7A9FB252AA56}">
  <ds:schemaRefs>
    <ds:schemaRef ds:uri="http://schemas.microsoft.com/office/2006/metadata/properties"/>
    <ds:schemaRef ds:uri="http://schemas.microsoft.com/office/infopath/2007/PartnerControls"/>
    <ds:schemaRef ds:uri="b5bb27c0-a588-4c79-9583-055ae82bd472"/>
    <ds:schemaRef ds:uri="03127532-95ae-4059-a509-2675320f3366"/>
  </ds:schemaRefs>
</ds:datastoreItem>
</file>

<file path=customXml/itemProps2.xml><?xml version="1.0" encoding="utf-8"?>
<ds:datastoreItem xmlns:ds="http://schemas.openxmlformats.org/officeDocument/2006/customXml" ds:itemID="{7A32E34A-3FD1-404B-AE83-B385C67E8B00}"/>
</file>

<file path=customXml/itemProps3.xml><?xml version="1.0" encoding="utf-8"?>
<ds:datastoreItem xmlns:ds="http://schemas.openxmlformats.org/officeDocument/2006/customXml" ds:itemID="{A9357482-FC9F-4735-A7E3-CEFE1C3CAB10}">
  <ds:schemaRefs>
    <ds:schemaRef ds:uri="http://schemas.microsoft.com/sharepoint/v3/contenttype/forms"/>
  </ds:schemaRefs>
</ds:datastoreItem>
</file>

<file path=customXml/itemProps4.xml><?xml version="1.0" encoding="utf-8"?>
<ds:datastoreItem xmlns:ds="http://schemas.openxmlformats.org/officeDocument/2006/customXml" ds:itemID="{15D79454-B8C3-4BEC-916A-C0B0C70D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Strauwen Eric - B2.1</dc:creator>
  <cp:keywords/>
  <cp:lastModifiedBy>Michaux Fabien - B2</cp:lastModifiedBy>
  <cp:revision>14</cp:revision>
  <dcterms:created xsi:type="dcterms:W3CDTF">2023-03-09T10:39:00Z</dcterms:created>
  <dcterms:modified xsi:type="dcterms:W3CDTF">2023-03-09T10:55:00Z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75f3693b-674b-4fa7-8954-2d921ab620a6</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MSIP_Label_3fcc0919-ace7-4ac5-935e-33d18af53a2b_Enabled">
    <vt:lpwstr>true</vt:lpwstr>
  </property>
  <property fmtid="{D5CDD505-2E9C-101B-9397-08002B2CF9AE}" pid="6" name="MSIP_Label_3fcc0919-ace7-4ac5-935e-33d18af53a2b_SetDate">
    <vt:lpwstr>2023-03-09T10:39:29Z</vt:lpwstr>
  </property>
  <property fmtid="{D5CDD505-2E9C-101B-9397-08002B2CF9AE}" pid="7" name="MSIP_Label_3fcc0919-ace7-4ac5-935e-33d18af53a2b_Method">
    <vt:lpwstr>Privileged</vt:lpwstr>
  </property>
  <property fmtid="{D5CDD505-2E9C-101B-9397-08002B2CF9AE}" pid="8" name="MSIP_Label_3fcc0919-ace7-4ac5-935e-33d18af53a2b_Name">
    <vt:lpwstr>Usage interne - Intern gebruik</vt:lpwstr>
  </property>
  <property fmtid="{D5CDD505-2E9C-101B-9397-08002B2CF9AE}" pid="9" name="MSIP_Label_3fcc0919-ace7-4ac5-935e-33d18af53a2b_SiteId">
    <vt:lpwstr>80153b30-e434-429b-b41c-0d47f9deec42</vt:lpwstr>
  </property>
  <property fmtid="{D5CDD505-2E9C-101B-9397-08002B2CF9AE}" pid="10" name="MSIP_Label_3fcc0919-ace7-4ac5-935e-33d18af53a2b_ActionId">
    <vt:lpwstr>e52b4096-3479-4334-923c-8d94e1415447</vt:lpwstr>
  </property>
  <property fmtid="{D5CDD505-2E9C-101B-9397-08002B2CF9AE}" pid="11" name="MSIP_Label_3fcc0919-ace7-4ac5-935e-33d18af53a2b_ContentBits">
    <vt:lpwstr>1</vt:lpwstr>
  </property>
  <property fmtid="{D5CDD505-2E9C-101B-9397-08002B2CF9AE}" pid="12" name="MediaServiceImageTags">
    <vt:lpwstr/>
  </property>
  <property fmtid="{D5CDD505-2E9C-101B-9397-08002B2CF9AE}" pid="13" name="ContentTypeId">
    <vt:lpwstr>0x010100B8816123DF7324418C51D6FAEF2E0F14</vt:lpwstr>
  </property>
  <property fmtid="{D5CDD505-2E9C-101B-9397-08002B2CF9AE}" pid="14" name="ArchiveCode">
    <vt:lpwstr/>
  </property>
</Properties>
</file>